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A0DA2" w14:textId="06D325EA" w:rsidR="001E5202" w:rsidRPr="00DA4BBE" w:rsidRDefault="002D548F" w:rsidP="005E27A0">
      <w:pPr>
        <w:pStyle w:val="Heading1"/>
        <w:numPr>
          <w:ilvl w:val="0"/>
          <w:numId w:val="0"/>
        </w:numPr>
        <w:rPr>
          <w:color w:val="FFFFFF" w:themeColor="background1"/>
        </w:rPr>
      </w:pPr>
      <w:bookmarkStart w:id="0" w:name="_Toc532471876"/>
      <w:r>
        <w:rPr>
          <w:color w:val="FFFFFF" w:themeColor="background1"/>
        </w:rPr>
        <w:t>Review of Sustainability Measures for Rock Lobster (CRA 3, 4 &amp; 8) for 2019/20</w:t>
      </w:r>
      <w:bookmarkEnd w:id="0"/>
    </w:p>
    <w:p w14:paraId="39D6705B" w14:textId="77777777" w:rsidR="002D548F" w:rsidRPr="002D548F" w:rsidRDefault="002D548F" w:rsidP="002D548F">
      <w:pPr>
        <w:rPr>
          <w:rFonts w:ascii="Arial Narrow" w:hAnsi="Arial Narrow"/>
          <w:b/>
          <w:color w:val="FFFFFF" w:themeColor="background1"/>
          <w:spacing w:val="-3"/>
          <w:lang w:val="en-AU"/>
        </w:rPr>
      </w:pPr>
      <w:r w:rsidRPr="002D548F">
        <w:rPr>
          <w:rFonts w:ascii="Arial Narrow" w:hAnsi="Arial Narrow" w:cs="Arial"/>
          <w:b/>
          <w:color w:val="FFFFFF" w:themeColor="background1"/>
          <w:sz w:val="28"/>
          <w:szCs w:val="24"/>
        </w:rPr>
        <w:t>Proposal to Alter Total Allowable Catches, Allowances, and Total Allowable Commercial Catc</w:t>
      </w:r>
      <w:bookmarkStart w:id="1" w:name="_GoBack"/>
      <w:bookmarkEnd w:id="1"/>
      <w:r w:rsidRPr="002D548F">
        <w:rPr>
          <w:rFonts w:ascii="Arial Narrow" w:hAnsi="Arial Narrow" w:cs="Arial"/>
          <w:b/>
          <w:color w:val="FFFFFF" w:themeColor="background1"/>
          <w:sz w:val="28"/>
          <w:szCs w:val="24"/>
        </w:rPr>
        <w:t>hes</w:t>
      </w:r>
    </w:p>
    <w:p w14:paraId="7C59CB3A" w14:textId="559BF219" w:rsidR="001E5202" w:rsidRDefault="001E5202" w:rsidP="001E5202">
      <w:pPr>
        <w:pStyle w:val="Subtitle"/>
        <w:rPr>
          <w:bCs/>
          <w:color w:val="FFFFFF" w:themeColor="background1"/>
        </w:rPr>
      </w:pPr>
    </w:p>
    <w:p w14:paraId="1BD665EF" w14:textId="47B6F6D6" w:rsidR="001E5202" w:rsidRPr="00DA4BBE" w:rsidRDefault="002D548F" w:rsidP="001E5202">
      <w:pPr>
        <w:pStyle w:val="ISBN"/>
        <w:rPr>
          <w:b/>
          <w:color w:val="FFFFFF" w:themeColor="background1"/>
          <w:lang w:val="en-AU"/>
        </w:rPr>
      </w:pPr>
      <w:r>
        <w:rPr>
          <w:b/>
          <w:color w:val="FFFFFF" w:themeColor="background1"/>
        </w:rPr>
        <w:t>Discussion</w:t>
      </w:r>
      <w:r w:rsidR="001E5202" w:rsidRPr="00DA4BBE">
        <w:rPr>
          <w:b/>
          <w:color w:val="FFFFFF" w:themeColor="background1"/>
        </w:rPr>
        <w:t xml:space="preserve"> Document</w:t>
      </w:r>
      <w:r w:rsidR="00233783">
        <w:rPr>
          <w:b/>
          <w:color w:val="FFFFFF" w:themeColor="background1"/>
        </w:rPr>
        <w:t xml:space="preserve"> No: 2018/09</w:t>
      </w:r>
    </w:p>
    <w:p w14:paraId="0B115107" w14:textId="77777777" w:rsidR="001E5202" w:rsidRPr="00DA4BBE" w:rsidRDefault="001E5202" w:rsidP="001E5202">
      <w:pPr>
        <w:pStyle w:val="ISBN"/>
        <w:rPr>
          <w:b/>
          <w:color w:val="FFFFFF" w:themeColor="background1"/>
        </w:rPr>
      </w:pPr>
    </w:p>
    <w:p w14:paraId="325E2CCC" w14:textId="77777777" w:rsidR="001E5202" w:rsidRPr="00DA4BBE" w:rsidRDefault="001E5202" w:rsidP="001E5202">
      <w:pPr>
        <w:pStyle w:val="ISBN"/>
        <w:rPr>
          <w:b/>
          <w:color w:val="FFFFFF" w:themeColor="background1"/>
        </w:rPr>
      </w:pPr>
    </w:p>
    <w:p w14:paraId="61E94AE0" w14:textId="77777777" w:rsidR="001E5202" w:rsidRPr="00DA4BBE" w:rsidRDefault="001E5202" w:rsidP="001E5202">
      <w:pPr>
        <w:pStyle w:val="ISBN"/>
        <w:rPr>
          <w:b/>
          <w:color w:val="FFFFFF" w:themeColor="background1"/>
        </w:rPr>
      </w:pPr>
    </w:p>
    <w:p w14:paraId="326A1417" w14:textId="5896D3D6" w:rsidR="001E5202" w:rsidRPr="00DA4BBE" w:rsidRDefault="001E5202" w:rsidP="00F03F7D">
      <w:pPr>
        <w:pStyle w:val="ISBN"/>
        <w:rPr>
          <w:b/>
          <w:color w:val="FFFFFF" w:themeColor="background1"/>
        </w:rPr>
      </w:pPr>
      <w:r w:rsidRPr="00DA4BBE">
        <w:rPr>
          <w:b/>
          <w:color w:val="FFFFFF" w:themeColor="background1"/>
        </w:rPr>
        <w:t xml:space="preserve">Prepared </w:t>
      </w:r>
      <w:r w:rsidR="00F16514">
        <w:rPr>
          <w:b/>
          <w:color w:val="FFFFFF" w:themeColor="background1"/>
        </w:rPr>
        <w:t xml:space="preserve">for consultation </w:t>
      </w:r>
      <w:r w:rsidRPr="00DA4BBE">
        <w:rPr>
          <w:b/>
          <w:color w:val="FFFFFF" w:themeColor="background1"/>
        </w:rPr>
        <w:t>by Fisheries New Zealand</w:t>
      </w:r>
    </w:p>
    <w:p w14:paraId="2A918CAD" w14:textId="77777777" w:rsidR="001E5202" w:rsidRPr="00DA4BBE" w:rsidRDefault="001E5202" w:rsidP="001E5202">
      <w:pPr>
        <w:pStyle w:val="ISBN"/>
        <w:rPr>
          <w:b/>
          <w:color w:val="FFFFFF" w:themeColor="background1"/>
        </w:rPr>
      </w:pPr>
    </w:p>
    <w:p w14:paraId="2CCE85EA" w14:textId="77777777" w:rsidR="001E5202" w:rsidRPr="00DA4BBE" w:rsidRDefault="001E5202" w:rsidP="001E5202">
      <w:pPr>
        <w:pStyle w:val="ISBN"/>
        <w:rPr>
          <w:b/>
          <w:color w:val="FFFFFF" w:themeColor="background1"/>
        </w:rPr>
      </w:pPr>
    </w:p>
    <w:p w14:paraId="09F43D46" w14:textId="374B225D" w:rsidR="001E5202" w:rsidRDefault="001E5202" w:rsidP="001E5202">
      <w:pPr>
        <w:pStyle w:val="ISBN"/>
        <w:rPr>
          <w:b/>
          <w:color w:val="FFFFFF" w:themeColor="background1"/>
        </w:rPr>
      </w:pPr>
      <w:r w:rsidRPr="00DA4BBE">
        <w:rPr>
          <w:b/>
          <w:color w:val="FFFFFF" w:themeColor="background1"/>
        </w:rPr>
        <w:t xml:space="preserve">ISBN No: </w:t>
      </w:r>
      <w:r w:rsidR="00233783" w:rsidRPr="00233783">
        <w:rPr>
          <w:b/>
          <w:color w:val="FFFFFF" w:themeColor="background1"/>
        </w:rPr>
        <w:t>978-1-98-857187-4 (online)</w:t>
      </w:r>
    </w:p>
    <w:p w14:paraId="79DF630B" w14:textId="06831D1D" w:rsidR="001E5202" w:rsidRPr="00786D81" w:rsidRDefault="00786D81" w:rsidP="00786D81">
      <w:pPr>
        <w:pStyle w:val="ISBN"/>
        <w:rPr>
          <w:b/>
          <w:color w:val="FFFFFF" w:themeColor="background1"/>
          <w:spacing w:val="-3"/>
          <w:lang w:val="en-AU"/>
        </w:rPr>
      </w:pPr>
      <w:r>
        <w:rPr>
          <w:b/>
          <w:color w:val="FFFFFF" w:themeColor="background1"/>
          <w:spacing w:val="-3"/>
          <w:lang w:val="en-AU"/>
        </w:rPr>
        <w:t xml:space="preserve">ISSN No: </w:t>
      </w:r>
      <w:r w:rsidR="00233783" w:rsidRPr="00233783">
        <w:rPr>
          <w:b/>
          <w:color w:val="FFFFFF" w:themeColor="background1"/>
          <w:spacing w:val="-3"/>
          <w:lang w:val="en-AU"/>
        </w:rPr>
        <w:t>2624-0165 (online)</w:t>
      </w:r>
    </w:p>
    <w:p w14:paraId="09E79B2E" w14:textId="77777777" w:rsidR="001E5202" w:rsidRPr="00DA4BBE" w:rsidRDefault="001E5202" w:rsidP="001E5202">
      <w:pPr>
        <w:pStyle w:val="ReturnAddress"/>
        <w:jc w:val="left"/>
        <w:rPr>
          <w:rFonts w:ascii="Arial Narrow" w:hAnsi="Arial Narrow"/>
          <w:b/>
          <w:color w:val="FFFFFF" w:themeColor="background1"/>
          <w:sz w:val="24"/>
        </w:rPr>
      </w:pPr>
    </w:p>
    <w:p w14:paraId="1538E2B2" w14:textId="77777777" w:rsidR="001E5202" w:rsidRPr="00DA4BBE" w:rsidRDefault="001E5202" w:rsidP="001E5202">
      <w:pPr>
        <w:pStyle w:val="ReturnAddress"/>
        <w:jc w:val="left"/>
        <w:rPr>
          <w:rFonts w:ascii="Arial Narrow" w:hAnsi="Arial Narrow"/>
          <w:b/>
          <w:color w:val="FFFFFF" w:themeColor="background1"/>
          <w:sz w:val="24"/>
        </w:rPr>
      </w:pPr>
    </w:p>
    <w:p w14:paraId="425D75DE" w14:textId="77777777" w:rsidR="001E5202" w:rsidRPr="00DA4BBE" w:rsidRDefault="001E5202" w:rsidP="001E5202">
      <w:pPr>
        <w:pStyle w:val="ReturnAddress"/>
        <w:jc w:val="left"/>
        <w:outlineLvl w:val="0"/>
        <w:rPr>
          <w:rFonts w:ascii="Arial Narrow" w:hAnsi="Arial Narrow"/>
          <w:b/>
          <w:color w:val="FFFFFF" w:themeColor="background1"/>
          <w:sz w:val="24"/>
        </w:rPr>
      </w:pPr>
    </w:p>
    <w:p w14:paraId="167FB020" w14:textId="510ACBE0" w:rsidR="001E5202" w:rsidRPr="00DA4BBE" w:rsidRDefault="002D0764" w:rsidP="001E5202">
      <w:pPr>
        <w:pStyle w:val="Date-frontpage"/>
        <w:rPr>
          <w:color w:val="FFFFFF" w:themeColor="background1"/>
        </w:rPr>
        <w:sectPr w:rsidR="001E5202" w:rsidRPr="00DA4BBE" w:rsidSect="00F81F75">
          <w:headerReference w:type="default" r:id="rId11"/>
          <w:footerReference w:type="even" r:id="rId12"/>
          <w:footerReference w:type="default" r:id="rId13"/>
          <w:pgSz w:w="11906" w:h="16838" w:code="9"/>
          <w:pgMar w:top="4536" w:right="907" w:bottom="567" w:left="3402" w:header="720" w:footer="720" w:gutter="0"/>
          <w:cols w:space="720"/>
        </w:sectPr>
      </w:pPr>
      <w:r w:rsidRPr="002D0764">
        <w:rPr>
          <w:color w:val="FFFFFF" w:themeColor="background1"/>
        </w:rPr>
        <w:t>December 2018</w:t>
      </w:r>
    </w:p>
    <w:p w14:paraId="3B94735F" w14:textId="77777777" w:rsidR="001E5202" w:rsidRDefault="001E5202" w:rsidP="001E5202"/>
    <w:p w14:paraId="491AE2BF" w14:textId="77777777" w:rsidR="001E5202" w:rsidRDefault="001E5202" w:rsidP="001E5202"/>
    <w:p w14:paraId="27798E0F" w14:textId="77777777" w:rsidR="001E5202" w:rsidRDefault="001E5202" w:rsidP="001E5202"/>
    <w:p w14:paraId="7D4B92AA" w14:textId="77777777" w:rsidR="001E5202" w:rsidRDefault="001E5202" w:rsidP="001E5202">
      <w:pPr>
        <w:pStyle w:val="Disclaimer"/>
      </w:pPr>
      <w:r>
        <w:t>Disclaimer</w:t>
      </w:r>
    </w:p>
    <w:p w14:paraId="57466CF5" w14:textId="77777777" w:rsidR="001E5202" w:rsidRDefault="001E5202" w:rsidP="001E5202">
      <w:pPr>
        <w:ind w:right="1395"/>
      </w:pPr>
    </w:p>
    <w:p w14:paraId="43CECDBE" w14:textId="77777777" w:rsidR="001E5202" w:rsidRPr="00426161" w:rsidRDefault="001E5202" w:rsidP="001E5202">
      <w:pPr>
        <w:rPr>
          <w:rFonts w:ascii="Arial" w:hAnsi="Arial" w:cs="Arial"/>
          <w:sz w:val="22"/>
          <w:szCs w:val="24"/>
        </w:rPr>
      </w:pPr>
      <w:r w:rsidRPr="00426161">
        <w:rPr>
          <w:rFonts w:ascii="Arial" w:hAnsi="Arial" w:cs="Arial"/>
          <w:sz w:val="22"/>
          <w:szCs w:val="24"/>
        </w:rPr>
        <w:t>While every effort has been made to ensure the information in this publication is accurate, Fisheries New Zealand does not accept any responsibility or liability for error of fact, omission, interpretation or opinion that may be present, nor for the consequences of any decisions based on this information.</w:t>
      </w:r>
    </w:p>
    <w:p w14:paraId="6FB7CA96" w14:textId="77777777" w:rsidR="001E5202" w:rsidRPr="00426161" w:rsidRDefault="001E5202" w:rsidP="001E5202">
      <w:pPr>
        <w:rPr>
          <w:rFonts w:ascii="Arial" w:hAnsi="Arial" w:cs="Arial"/>
          <w:sz w:val="22"/>
          <w:szCs w:val="24"/>
        </w:rPr>
      </w:pPr>
    </w:p>
    <w:p w14:paraId="78E3D127" w14:textId="77777777" w:rsidR="001E5202" w:rsidRPr="00426161" w:rsidRDefault="001E5202" w:rsidP="001E5202">
      <w:pPr>
        <w:rPr>
          <w:rFonts w:ascii="Arial" w:hAnsi="Arial" w:cs="Arial"/>
          <w:sz w:val="22"/>
          <w:szCs w:val="24"/>
        </w:rPr>
      </w:pPr>
      <w:r w:rsidRPr="00426161">
        <w:rPr>
          <w:rFonts w:ascii="Arial" w:hAnsi="Arial" w:cs="Arial"/>
          <w:sz w:val="22"/>
          <w:szCs w:val="24"/>
        </w:rPr>
        <w:t>Requests for further copies should be directed to:</w:t>
      </w:r>
    </w:p>
    <w:p w14:paraId="56DBBE53" w14:textId="77777777" w:rsidR="001E5202" w:rsidRPr="00426161" w:rsidRDefault="001E5202" w:rsidP="001E5202">
      <w:pPr>
        <w:rPr>
          <w:rFonts w:ascii="Arial" w:hAnsi="Arial" w:cs="Arial"/>
          <w:sz w:val="22"/>
          <w:szCs w:val="24"/>
        </w:rPr>
      </w:pPr>
    </w:p>
    <w:p w14:paraId="47216B6A" w14:textId="77777777" w:rsidR="001E5202" w:rsidRPr="00426161" w:rsidRDefault="001E5202" w:rsidP="001E5202">
      <w:pPr>
        <w:rPr>
          <w:rFonts w:ascii="Arial" w:hAnsi="Arial" w:cs="Arial"/>
          <w:sz w:val="22"/>
          <w:szCs w:val="24"/>
        </w:rPr>
      </w:pPr>
      <w:r w:rsidRPr="00426161">
        <w:rPr>
          <w:rFonts w:ascii="Arial" w:hAnsi="Arial" w:cs="Arial"/>
          <w:sz w:val="22"/>
          <w:szCs w:val="24"/>
        </w:rPr>
        <w:t>Publications Logistics Officer</w:t>
      </w:r>
    </w:p>
    <w:p w14:paraId="6822A59C" w14:textId="77777777" w:rsidR="001E5202" w:rsidRPr="00426161" w:rsidRDefault="001E5202" w:rsidP="001E5202">
      <w:pPr>
        <w:rPr>
          <w:rFonts w:ascii="Arial" w:hAnsi="Arial" w:cs="Arial"/>
          <w:sz w:val="22"/>
          <w:szCs w:val="24"/>
        </w:rPr>
      </w:pPr>
      <w:r w:rsidRPr="00426161">
        <w:rPr>
          <w:rFonts w:ascii="Arial" w:hAnsi="Arial" w:cs="Arial"/>
          <w:sz w:val="22"/>
          <w:szCs w:val="24"/>
        </w:rPr>
        <w:t>Ministry for Primary Industries</w:t>
      </w:r>
    </w:p>
    <w:p w14:paraId="1438454A" w14:textId="77777777" w:rsidR="001E5202" w:rsidRPr="00426161" w:rsidRDefault="001E5202" w:rsidP="001E5202">
      <w:pPr>
        <w:rPr>
          <w:rFonts w:ascii="Arial" w:hAnsi="Arial" w:cs="Arial"/>
          <w:sz w:val="22"/>
          <w:szCs w:val="24"/>
        </w:rPr>
      </w:pPr>
      <w:r w:rsidRPr="00426161">
        <w:rPr>
          <w:rFonts w:ascii="Arial" w:hAnsi="Arial" w:cs="Arial"/>
          <w:sz w:val="22"/>
          <w:szCs w:val="24"/>
        </w:rPr>
        <w:t>PO Box 2526</w:t>
      </w:r>
    </w:p>
    <w:p w14:paraId="4DC6E5C6" w14:textId="77777777" w:rsidR="001E5202" w:rsidRPr="00426161" w:rsidRDefault="001E5202" w:rsidP="001E5202">
      <w:pPr>
        <w:rPr>
          <w:rFonts w:ascii="Arial" w:hAnsi="Arial" w:cs="Arial"/>
          <w:sz w:val="22"/>
          <w:szCs w:val="24"/>
        </w:rPr>
      </w:pPr>
      <w:r w:rsidRPr="00426161">
        <w:rPr>
          <w:rFonts w:ascii="Arial" w:hAnsi="Arial" w:cs="Arial"/>
          <w:sz w:val="22"/>
          <w:szCs w:val="24"/>
        </w:rPr>
        <w:t>WELLINGTON 6140</w:t>
      </w:r>
    </w:p>
    <w:p w14:paraId="6269B81E" w14:textId="77777777" w:rsidR="001E5202" w:rsidRPr="00426161" w:rsidRDefault="001E5202" w:rsidP="001E5202">
      <w:pPr>
        <w:rPr>
          <w:rFonts w:ascii="Arial" w:hAnsi="Arial" w:cs="Arial"/>
          <w:sz w:val="22"/>
          <w:szCs w:val="24"/>
        </w:rPr>
      </w:pPr>
    </w:p>
    <w:p w14:paraId="0CC932EA" w14:textId="77777777" w:rsidR="001E5202" w:rsidRPr="00426161" w:rsidRDefault="001E5202" w:rsidP="001E5202">
      <w:pPr>
        <w:rPr>
          <w:rFonts w:ascii="Arial" w:hAnsi="Arial" w:cs="Arial"/>
          <w:sz w:val="22"/>
          <w:szCs w:val="24"/>
        </w:rPr>
      </w:pPr>
      <w:r w:rsidRPr="00426161">
        <w:rPr>
          <w:rFonts w:ascii="Arial" w:hAnsi="Arial" w:cs="Arial"/>
          <w:sz w:val="22"/>
          <w:szCs w:val="24"/>
        </w:rPr>
        <w:t xml:space="preserve">Email: </w:t>
      </w:r>
      <w:hyperlink r:id="rId14" w:history="1">
        <w:r w:rsidRPr="00426161">
          <w:rPr>
            <w:rStyle w:val="Hyperlink"/>
            <w:rFonts w:ascii="Arial" w:hAnsi="Arial" w:cs="Arial"/>
            <w:sz w:val="22"/>
            <w:szCs w:val="24"/>
          </w:rPr>
          <w:t>brand@mpi.govt.nz</w:t>
        </w:r>
      </w:hyperlink>
    </w:p>
    <w:p w14:paraId="1DB2F095" w14:textId="77777777" w:rsidR="001E5202" w:rsidRPr="00426161" w:rsidRDefault="001E5202" w:rsidP="001E5202">
      <w:pPr>
        <w:rPr>
          <w:rFonts w:ascii="Arial" w:hAnsi="Arial" w:cs="Arial"/>
          <w:sz w:val="22"/>
          <w:szCs w:val="24"/>
        </w:rPr>
      </w:pPr>
      <w:r w:rsidRPr="00426161">
        <w:rPr>
          <w:rFonts w:ascii="Arial" w:hAnsi="Arial" w:cs="Arial"/>
          <w:sz w:val="22"/>
          <w:szCs w:val="24"/>
        </w:rPr>
        <w:t>Telephone: 0800 00 83 33</w:t>
      </w:r>
    </w:p>
    <w:p w14:paraId="74C45918" w14:textId="77777777" w:rsidR="001E5202" w:rsidRPr="00426161" w:rsidRDefault="001E5202" w:rsidP="001E5202">
      <w:pPr>
        <w:rPr>
          <w:rFonts w:ascii="Arial" w:hAnsi="Arial" w:cs="Arial"/>
          <w:sz w:val="22"/>
          <w:szCs w:val="24"/>
        </w:rPr>
      </w:pPr>
      <w:r w:rsidRPr="00426161">
        <w:rPr>
          <w:rFonts w:ascii="Arial" w:hAnsi="Arial" w:cs="Arial"/>
          <w:sz w:val="22"/>
          <w:szCs w:val="24"/>
        </w:rPr>
        <w:t>Facsimile: 04-894 0300</w:t>
      </w:r>
    </w:p>
    <w:p w14:paraId="2B9AED2C" w14:textId="77777777" w:rsidR="001E5202" w:rsidRPr="00426161" w:rsidRDefault="001E5202" w:rsidP="001E5202">
      <w:pPr>
        <w:rPr>
          <w:rFonts w:ascii="Arial" w:hAnsi="Arial" w:cs="Arial"/>
          <w:sz w:val="22"/>
          <w:szCs w:val="24"/>
        </w:rPr>
      </w:pPr>
    </w:p>
    <w:p w14:paraId="718989C6" w14:textId="77777777" w:rsidR="001E5202" w:rsidRPr="00426161" w:rsidRDefault="001E5202" w:rsidP="001E5202">
      <w:pPr>
        <w:rPr>
          <w:rFonts w:ascii="Arial" w:hAnsi="Arial" w:cs="Arial"/>
          <w:sz w:val="22"/>
          <w:szCs w:val="24"/>
        </w:rPr>
      </w:pPr>
      <w:r w:rsidRPr="00426161">
        <w:rPr>
          <w:rFonts w:ascii="Arial" w:hAnsi="Arial" w:cs="Arial"/>
          <w:sz w:val="22"/>
          <w:szCs w:val="24"/>
        </w:rPr>
        <w:t xml:space="preserve">This publication is also available on the Ministry for Primary Industries website at </w:t>
      </w:r>
    </w:p>
    <w:p w14:paraId="44775423" w14:textId="77777777" w:rsidR="001E5202" w:rsidRPr="00426161" w:rsidRDefault="00233783" w:rsidP="001E5202">
      <w:pPr>
        <w:rPr>
          <w:rFonts w:ascii="Arial" w:hAnsi="Arial" w:cs="Arial"/>
          <w:sz w:val="22"/>
          <w:szCs w:val="24"/>
        </w:rPr>
      </w:pPr>
      <w:hyperlink r:id="rId15" w:history="1">
        <w:r w:rsidR="001E5202" w:rsidRPr="00426161">
          <w:rPr>
            <w:rStyle w:val="Hyperlink"/>
            <w:rFonts w:ascii="Arial" w:hAnsi="Arial" w:cs="Arial"/>
            <w:sz w:val="22"/>
            <w:szCs w:val="24"/>
          </w:rPr>
          <w:t>http://www.mpi.govt.nz/news-and-resources/publications/</w:t>
        </w:r>
      </w:hyperlink>
      <w:r w:rsidR="001E5202" w:rsidRPr="00426161">
        <w:rPr>
          <w:rFonts w:ascii="Arial" w:hAnsi="Arial" w:cs="Arial"/>
          <w:sz w:val="22"/>
          <w:szCs w:val="24"/>
        </w:rPr>
        <w:t xml:space="preserve"> </w:t>
      </w:r>
    </w:p>
    <w:p w14:paraId="30E38913" w14:textId="77777777" w:rsidR="001E5202" w:rsidRPr="00426161" w:rsidRDefault="001E5202" w:rsidP="001E5202">
      <w:pPr>
        <w:rPr>
          <w:rFonts w:ascii="Arial" w:hAnsi="Arial" w:cs="Arial"/>
          <w:sz w:val="22"/>
          <w:szCs w:val="24"/>
        </w:rPr>
      </w:pPr>
    </w:p>
    <w:p w14:paraId="240E66E2" w14:textId="77777777" w:rsidR="001E5202" w:rsidRPr="00426161" w:rsidRDefault="001E5202" w:rsidP="001E5202">
      <w:pPr>
        <w:rPr>
          <w:rFonts w:ascii="Arial" w:hAnsi="Arial" w:cs="Arial"/>
          <w:sz w:val="22"/>
          <w:szCs w:val="24"/>
        </w:rPr>
      </w:pPr>
      <w:r w:rsidRPr="00426161">
        <w:rPr>
          <w:rFonts w:ascii="Arial" w:hAnsi="Arial" w:cs="Arial"/>
          <w:sz w:val="22"/>
          <w:szCs w:val="24"/>
        </w:rPr>
        <w:t>Front page photo credit: Malcolm Francis</w:t>
      </w:r>
    </w:p>
    <w:p w14:paraId="578DC2CB" w14:textId="77777777" w:rsidR="001E5202" w:rsidRPr="00426161" w:rsidRDefault="001E5202" w:rsidP="001E5202">
      <w:pPr>
        <w:rPr>
          <w:rFonts w:ascii="Arial" w:hAnsi="Arial" w:cs="Arial"/>
          <w:sz w:val="22"/>
          <w:szCs w:val="24"/>
        </w:rPr>
      </w:pPr>
    </w:p>
    <w:p w14:paraId="7476C5A7" w14:textId="77777777" w:rsidR="001E5202" w:rsidRPr="00426161" w:rsidRDefault="001E5202" w:rsidP="001E5202">
      <w:pPr>
        <w:rPr>
          <w:rFonts w:ascii="Arial" w:hAnsi="Arial" w:cs="Arial"/>
          <w:sz w:val="22"/>
          <w:szCs w:val="24"/>
        </w:rPr>
      </w:pPr>
      <w:r w:rsidRPr="00426161">
        <w:rPr>
          <w:rFonts w:ascii="Arial" w:hAnsi="Arial" w:cs="Arial"/>
          <w:b/>
          <w:sz w:val="22"/>
          <w:szCs w:val="24"/>
        </w:rPr>
        <w:t>© Crown Copyright – Fisheries New Zealand</w:t>
      </w:r>
    </w:p>
    <w:p w14:paraId="0B8984B1" w14:textId="77777777" w:rsidR="001E5202" w:rsidRDefault="001E5202" w:rsidP="001E5202">
      <w:pPr>
        <w:sectPr w:rsidR="001E5202">
          <w:headerReference w:type="even" r:id="rId16"/>
          <w:headerReference w:type="default" r:id="rId17"/>
          <w:footerReference w:type="even" r:id="rId18"/>
          <w:footerReference w:type="default" r:id="rId19"/>
          <w:pgSz w:w="11906" w:h="16838"/>
          <w:pgMar w:top="1134" w:right="1418" w:bottom="1134" w:left="1418" w:header="720" w:footer="720" w:gutter="0"/>
          <w:cols w:space="720"/>
        </w:sectPr>
      </w:pPr>
    </w:p>
    <w:p w14:paraId="35B438DE" w14:textId="77777777" w:rsidR="001E5202" w:rsidRDefault="001E5202" w:rsidP="001E5202">
      <w:pPr>
        <w:pStyle w:val="Contents"/>
      </w:pPr>
      <w:r>
        <w:lastRenderedPageBreak/>
        <w:t>Contents</w:t>
      </w:r>
      <w:r>
        <w:tab/>
      </w:r>
      <w:r>
        <w:rPr>
          <w:sz w:val="24"/>
        </w:rPr>
        <w:t>Page</w:t>
      </w:r>
    </w:p>
    <w:p w14:paraId="5DF669D3" w14:textId="77777777" w:rsidR="001E5202" w:rsidRDefault="001E5202" w:rsidP="001E5202"/>
    <w:p w14:paraId="7C82109F" w14:textId="554DC690" w:rsidR="008D2461" w:rsidRDefault="001E5202">
      <w:pPr>
        <w:pStyle w:val="TOC1"/>
        <w:rPr>
          <w:rFonts w:asciiTheme="minorHAnsi" w:eastAsiaTheme="minorEastAsia" w:hAnsiTheme="minorHAnsi" w:cstheme="minorBidi"/>
          <w:b w:val="0"/>
          <w:sz w:val="22"/>
          <w:szCs w:val="22"/>
          <w:lang w:eastAsia="en-NZ"/>
        </w:rPr>
      </w:pPr>
      <w:r w:rsidRPr="003E063E">
        <w:rPr>
          <w:rFonts w:ascii="Arial" w:hAnsi="Arial" w:cs="Arial"/>
          <w:b w:val="0"/>
          <w:sz w:val="22"/>
          <w:szCs w:val="22"/>
        </w:rPr>
        <w:fldChar w:fldCharType="begin"/>
      </w:r>
      <w:r w:rsidRPr="003E063E">
        <w:rPr>
          <w:rFonts w:ascii="Arial" w:hAnsi="Arial" w:cs="Arial"/>
          <w:b w:val="0"/>
          <w:sz w:val="22"/>
          <w:szCs w:val="22"/>
        </w:rPr>
        <w:instrText xml:space="preserve"> TOC \o "1-2" </w:instrText>
      </w:r>
      <w:r w:rsidRPr="003E063E">
        <w:rPr>
          <w:rFonts w:ascii="Arial" w:hAnsi="Arial" w:cs="Arial"/>
          <w:b w:val="0"/>
          <w:sz w:val="22"/>
          <w:szCs w:val="22"/>
        </w:rPr>
        <w:fldChar w:fldCharType="separate"/>
      </w:r>
    </w:p>
    <w:p w14:paraId="24C49175" w14:textId="772C437B" w:rsidR="008D2461" w:rsidRDefault="008D2461" w:rsidP="00710B4B">
      <w:pPr>
        <w:pStyle w:val="TOC1"/>
        <w:spacing w:before="0" w:after="60"/>
        <w:contextualSpacing w:val="0"/>
        <w:rPr>
          <w:rFonts w:asciiTheme="minorHAnsi" w:eastAsiaTheme="minorEastAsia" w:hAnsiTheme="minorHAnsi" w:cstheme="minorBidi"/>
          <w:b w:val="0"/>
          <w:sz w:val="22"/>
          <w:szCs w:val="22"/>
          <w:lang w:eastAsia="en-NZ"/>
        </w:rPr>
      </w:pPr>
      <w:r>
        <w:t>1</w:t>
      </w:r>
      <w:r>
        <w:rPr>
          <w:rFonts w:asciiTheme="minorHAnsi" w:eastAsiaTheme="minorEastAsia" w:hAnsiTheme="minorHAnsi" w:cstheme="minorBidi"/>
          <w:b w:val="0"/>
          <w:sz w:val="22"/>
          <w:szCs w:val="22"/>
          <w:lang w:eastAsia="en-NZ"/>
        </w:rPr>
        <w:tab/>
      </w:r>
      <w:r w:rsidR="007309A9">
        <w:t>Submission i</w:t>
      </w:r>
      <w:r>
        <w:t>nformation</w:t>
      </w:r>
      <w:r>
        <w:tab/>
      </w:r>
      <w:r>
        <w:fldChar w:fldCharType="begin"/>
      </w:r>
      <w:r>
        <w:instrText xml:space="preserve"> PAGEREF _Toc532471877 \h </w:instrText>
      </w:r>
      <w:r>
        <w:fldChar w:fldCharType="separate"/>
      </w:r>
      <w:r>
        <w:t>1</w:t>
      </w:r>
      <w:r>
        <w:fldChar w:fldCharType="end"/>
      </w:r>
    </w:p>
    <w:p w14:paraId="240D0C59" w14:textId="77777777" w:rsidR="008D2461" w:rsidRDefault="008D2461" w:rsidP="00710B4B">
      <w:pPr>
        <w:pStyle w:val="TOC1"/>
        <w:spacing w:before="0" w:after="60"/>
        <w:contextualSpacing w:val="0"/>
        <w:rPr>
          <w:rFonts w:asciiTheme="minorHAnsi" w:eastAsiaTheme="minorEastAsia" w:hAnsiTheme="minorHAnsi" w:cstheme="minorBidi"/>
          <w:b w:val="0"/>
          <w:sz w:val="22"/>
          <w:szCs w:val="22"/>
          <w:lang w:eastAsia="en-NZ"/>
        </w:rPr>
      </w:pPr>
      <w:r>
        <w:t>2</w:t>
      </w:r>
      <w:r>
        <w:rPr>
          <w:rFonts w:asciiTheme="minorHAnsi" w:eastAsiaTheme="minorEastAsia" w:hAnsiTheme="minorHAnsi" w:cstheme="minorBidi"/>
          <w:b w:val="0"/>
          <w:sz w:val="22"/>
          <w:szCs w:val="22"/>
          <w:lang w:eastAsia="en-NZ"/>
        </w:rPr>
        <w:tab/>
      </w:r>
      <w:r>
        <w:t>What is proposed?</w:t>
      </w:r>
      <w:r>
        <w:tab/>
      </w:r>
      <w:r>
        <w:fldChar w:fldCharType="begin"/>
      </w:r>
      <w:r>
        <w:instrText xml:space="preserve"> PAGEREF _Toc532471878 \h </w:instrText>
      </w:r>
      <w:r>
        <w:fldChar w:fldCharType="separate"/>
      </w:r>
      <w:r>
        <w:t>2</w:t>
      </w:r>
      <w:r>
        <w:fldChar w:fldCharType="end"/>
      </w:r>
    </w:p>
    <w:p w14:paraId="239F79D1" w14:textId="77777777" w:rsidR="008D2461" w:rsidRDefault="008D2461" w:rsidP="00710B4B">
      <w:pPr>
        <w:pStyle w:val="TOC1"/>
        <w:spacing w:before="0" w:after="60"/>
        <w:contextualSpacing w:val="0"/>
        <w:rPr>
          <w:rFonts w:asciiTheme="minorHAnsi" w:eastAsiaTheme="minorEastAsia" w:hAnsiTheme="minorHAnsi" w:cstheme="minorBidi"/>
          <w:b w:val="0"/>
          <w:sz w:val="22"/>
          <w:szCs w:val="22"/>
          <w:lang w:eastAsia="en-NZ"/>
        </w:rPr>
      </w:pPr>
      <w:r>
        <w:t>3</w:t>
      </w:r>
      <w:r>
        <w:rPr>
          <w:rFonts w:asciiTheme="minorHAnsi" w:eastAsiaTheme="minorEastAsia" w:hAnsiTheme="minorHAnsi" w:cstheme="minorBidi"/>
          <w:b w:val="0"/>
          <w:sz w:val="22"/>
          <w:szCs w:val="22"/>
          <w:lang w:eastAsia="en-NZ"/>
        </w:rPr>
        <w:tab/>
      </w:r>
      <w:r>
        <w:t>Why the need for change?</w:t>
      </w:r>
      <w:r>
        <w:tab/>
      </w:r>
      <w:r>
        <w:fldChar w:fldCharType="begin"/>
      </w:r>
      <w:r>
        <w:instrText xml:space="preserve"> PAGEREF _Toc532471879 \h </w:instrText>
      </w:r>
      <w:r>
        <w:fldChar w:fldCharType="separate"/>
      </w:r>
      <w:r>
        <w:t>3</w:t>
      </w:r>
      <w:r>
        <w:fldChar w:fldCharType="end"/>
      </w:r>
    </w:p>
    <w:p w14:paraId="38110558" w14:textId="428E153D" w:rsidR="008D2461" w:rsidRDefault="008D2461" w:rsidP="00710B4B">
      <w:pPr>
        <w:pStyle w:val="TOC1"/>
        <w:spacing w:before="0" w:after="60"/>
        <w:contextualSpacing w:val="0"/>
        <w:rPr>
          <w:rFonts w:asciiTheme="minorHAnsi" w:eastAsiaTheme="minorEastAsia" w:hAnsiTheme="minorHAnsi" w:cstheme="minorBidi"/>
          <w:b w:val="0"/>
          <w:sz w:val="22"/>
          <w:szCs w:val="22"/>
          <w:lang w:eastAsia="en-NZ"/>
        </w:rPr>
      </w:pPr>
      <w:r>
        <w:t>4</w:t>
      </w:r>
      <w:r>
        <w:rPr>
          <w:rFonts w:asciiTheme="minorHAnsi" w:eastAsiaTheme="minorEastAsia" w:hAnsiTheme="minorHAnsi" w:cstheme="minorBidi"/>
          <w:b w:val="0"/>
          <w:sz w:val="22"/>
          <w:szCs w:val="22"/>
          <w:lang w:eastAsia="en-NZ"/>
        </w:rPr>
        <w:tab/>
      </w:r>
      <w:r w:rsidR="002C54A7">
        <w:t>Background i</w:t>
      </w:r>
      <w:r>
        <w:t>nformation</w:t>
      </w:r>
      <w:r>
        <w:tab/>
      </w:r>
      <w:r>
        <w:fldChar w:fldCharType="begin"/>
      </w:r>
      <w:r>
        <w:instrText xml:space="preserve"> PAGEREF _Toc532471880 \h </w:instrText>
      </w:r>
      <w:r>
        <w:fldChar w:fldCharType="separate"/>
      </w:r>
      <w:r>
        <w:t>5</w:t>
      </w:r>
      <w:r>
        <w:fldChar w:fldCharType="end"/>
      </w:r>
    </w:p>
    <w:p w14:paraId="0006C036" w14:textId="15226C2B"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lang w:eastAsia="en-NZ"/>
        </w:rPr>
        <w:tab/>
      </w:r>
      <w:r>
        <w:rPr>
          <w:noProof/>
        </w:rPr>
        <w:t>Management approach for rock lobster stocks</w:t>
      </w:r>
      <w:r>
        <w:rPr>
          <w:noProof/>
        </w:rPr>
        <w:tab/>
      </w:r>
      <w:r>
        <w:rPr>
          <w:noProof/>
        </w:rPr>
        <w:fldChar w:fldCharType="begin"/>
      </w:r>
      <w:r>
        <w:rPr>
          <w:noProof/>
        </w:rPr>
        <w:instrText xml:space="preserve"> PAGEREF _Toc532471881 \h </w:instrText>
      </w:r>
      <w:r>
        <w:rPr>
          <w:noProof/>
        </w:rPr>
      </w:r>
      <w:r>
        <w:rPr>
          <w:noProof/>
        </w:rPr>
        <w:fldChar w:fldCharType="separate"/>
      </w:r>
      <w:r>
        <w:rPr>
          <w:noProof/>
        </w:rPr>
        <w:t>5</w:t>
      </w:r>
      <w:r>
        <w:rPr>
          <w:noProof/>
        </w:rPr>
        <w:fldChar w:fldCharType="end"/>
      </w:r>
    </w:p>
    <w:p w14:paraId="1E0896C9" w14:textId="4ED6BA07"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lang w:eastAsia="en-NZ"/>
        </w:rPr>
        <w:tab/>
      </w:r>
      <w:r>
        <w:rPr>
          <w:noProof/>
        </w:rPr>
        <w:t>Definition of stock indicators</w:t>
      </w:r>
      <w:r>
        <w:rPr>
          <w:noProof/>
        </w:rPr>
        <w:tab/>
      </w:r>
      <w:r>
        <w:rPr>
          <w:noProof/>
        </w:rPr>
        <w:fldChar w:fldCharType="begin"/>
      </w:r>
      <w:r>
        <w:rPr>
          <w:noProof/>
        </w:rPr>
        <w:instrText xml:space="preserve"> PAGEREF _Toc532471882 \h </w:instrText>
      </w:r>
      <w:r>
        <w:rPr>
          <w:noProof/>
        </w:rPr>
      </w:r>
      <w:r>
        <w:rPr>
          <w:noProof/>
        </w:rPr>
        <w:fldChar w:fldCharType="separate"/>
      </w:r>
      <w:r>
        <w:rPr>
          <w:noProof/>
        </w:rPr>
        <w:t>5</w:t>
      </w:r>
      <w:r>
        <w:rPr>
          <w:noProof/>
        </w:rPr>
        <w:fldChar w:fldCharType="end"/>
      </w:r>
    </w:p>
    <w:p w14:paraId="4A8D5538" w14:textId="77777777"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lang w:eastAsia="en-NZ"/>
        </w:rPr>
        <w:tab/>
      </w:r>
      <w:r>
        <w:rPr>
          <w:noProof/>
        </w:rPr>
        <w:t>Harvest Strategy Standard</w:t>
      </w:r>
      <w:r>
        <w:rPr>
          <w:noProof/>
        </w:rPr>
        <w:tab/>
      </w:r>
      <w:r>
        <w:rPr>
          <w:noProof/>
        </w:rPr>
        <w:fldChar w:fldCharType="begin"/>
      </w:r>
      <w:r>
        <w:rPr>
          <w:noProof/>
        </w:rPr>
        <w:instrText xml:space="preserve"> PAGEREF _Toc532471883 \h </w:instrText>
      </w:r>
      <w:r>
        <w:rPr>
          <w:noProof/>
        </w:rPr>
      </w:r>
      <w:r>
        <w:rPr>
          <w:noProof/>
        </w:rPr>
        <w:fldChar w:fldCharType="separate"/>
      </w:r>
      <w:r>
        <w:rPr>
          <w:noProof/>
        </w:rPr>
        <w:t>6</w:t>
      </w:r>
      <w:r>
        <w:rPr>
          <w:noProof/>
        </w:rPr>
        <w:fldChar w:fldCharType="end"/>
      </w:r>
    </w:p>
    <w:p w14:paraId="2B0B0F4D" w14:textId="77777777" w:rsidR="008D2461" w:rsidRDefault="008D2461" w:rsidP="00710B4B">
      <w:pPr>
        <w:pStyle w:val="TOC1"/>
        <w:spacing w:after="60"/>
        <w:rPr>
          <w:rFonts w:asciiTheme="minorHAnsi" w:eastAsiaTheme="minorEastAsia" w:hAnsiTheme="minorHAnsi" w:cstheme="minorBidi"/>
          <w:b w:val="0"/>
          <w:sz w:val="22"/>
          <w:szCs w:val="22"/>
          <w:lang w:eastAsia="en-NZ"/>
        </w:rPr>
      </w:pPr>
      <w:r>
        <w:t>5</w:t>
      </w:r>
      <w:r>
        <w:rPr>
          <w:rFonts w:asciiTheme="minorHAnsi" w:eastAsiaTheme="minorEastAsia" w:hAnsiTheme="minorHAnsi" w:cstheme="minorBidi"/>
          <w:b w:val="0"/>
          <w:sz w:val="22"/>
          <w:szCs w:val="22"/>
          <w:lang w:eastAsia="en-NZ"/>
        </w:rPr>
        <w:tab/>
      </w:r>
      <w:r>
        <w:t>Review of the CRA 3 (Gisborne) Rock Lobster Fishery</w:t>
      </w:r>
      <w:r>
        <w:tab/>
      </w:r>
      <w:r>
        <w:fldChar w:fldCharType="begin"/>
      </w:r>
      <w:r>
        <w:instrText xml:space="preserve"> PAGEREF _Toc532471884 \h </w:instrText>
      </w:r>
      <w:r>
        <w:fldChar w:fldCharType="separate"/>
      </w:r>
      <w:r>
        <w:t>6</w:t>
      </w:r>
      <w:r>
        <w:fldChar w:fldCharType="end"/>
      </w:r>
    </w:p>
    <w:p w14:paraId="6256BB29" w14:textId="1F77B195"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lang w:eastAsia="en-NZ"/>
        </w:rPr>
        <w:tab/>
      </w:r>
      <w:r>
        <w:rPr>
          <w:noProof/>
        </w:rPr>
        <w:t>Fishery overview</w:t>
      </w:r>
      <w:r>
        <w:rPr>
          <w:noProof/>
        </w:rPr>
        <w:tab/>
      </w:r>
      <w:r>
        <w:rPr>
          <w:noProof/>
        </w:rPr>
        <w:fldChar w:fldCharType="begin"/>
      </w:r>
      <w:r>
        <w:rPr>
          <w:noProof/>
        </w:rPr>
        <w:instrText xml:space="preserve"> PAGEREF _Toc532471885 \h </w:instrText>
      </w:r>
      <w:r>
        <w:rPr>
          <w:noProof/>
        </w:rPr>
      </w:r>
      <w:r>
        <w:rPr>
          <w:noProof/>
        </w:rPr>
        <w:fldChar w:fldCharType="separate"/>
      </w:r>
      <w:r>
        <w:rPr>
          <w:noProof/>
        </w:rPr>
        <w:t>6</w:t>
      </w:r>
      <w:r>
        <w:rPr>
          <w:noProof/>
        </w:rPr>
        <w:fldChar w:fldCharType="end"/>
      </w:r>
    </w:p>
    <w:p w14:paraId="34570AF5" w14:textId="749D9989"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lang w:eastAsia="en-NZ"/>
        </w:rPr>
        <w:tab/>
      </w:r>
      <w:r>
        <w:rPr>
          <w:noProof/>
        </w:rPr>
        <w:t>CRA 3 stock status</w:t>
      </w:r>
      <w:r>
        <w:rPr>
          <w:noProof/>
        </w:rPr>
        <w:tab/>
      </w:r>
      <w:r>
        <w:rPr>
          <w:noProof/>
        </w:rPr>
        <w:fldChar w:fldCharType="begin"/>
      </w:r>
      <w:r>
        <w:rPr>
          <w:noProof/>
        </w:rPr>
        <w:instrText xml:space="preserve"> PAGEREF _Toc532471886 \h </w:instrText>
      </w:r>
      <w:r>
        <w:rPr>
          <w:noProof/>
        </w:rPr>
      </w:r>
      <w:r>
        <w:rPr>
          <w:noProof/>
        </w:rPr>
        <w:fldChar w:fldCharType="separate"/>
      </w:r>
      <w:r>
        <w:rPr>
          <w:noProof/>
        </w:rPr>
        <w:t>8</w:t>
      </w:r>
      <w:r>
        <w:rPr>
          <w:noProof/>
        </w:rPr>
        <w:fldChar w:fldCharType="end"/>
      </w:r>
    </w:p>
    <w:p w14:paraId="0A4C2489" w14:textId="64E37525"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lang w:eastAsia="en-NZ"/>
        </w:rPr>
        <w:tab/>
      </w:r>
      <w:r>
        <w:rPr>
          <w:noProof/>
        </w:rPr>
        <w:t>The current CRA 3 management procedure</w:t>
      </w:r>
      <w:r>
        <w:rPr>
          <w:noProof/>
        </w:rPr>
        <w:tab/>
      </w:r>
      <w:r>
        <w:rPr>
          <w:noProof/>
        </w:rPr>
        <w:fldChar w:fldCharType="begin"/>
      </w:r>
      <w:r>
        <w:rPr>
          <w:noProof/>
        </w:rPr>
        <w:instrText xml:space="preserve"> PAGEREF _Toc532471887 \h </w:instrText>
      </w:r>
      <w:r>
        <w:rPr>
          <w:noProof/>
        </w:rPr>
      </w:r>
      <w:r>
        <w:rPr>
          <w:noProof/>
        </w:rPr>
        <w:fldChar w:fldCharType="separate"/>
      </w:r>
      <w:r>
        <w:rPr>
          <w:noProof/>
        </w:rPr>
        <w:t>9</w:t>
      </w:r>
      <w:r>
        <w:rPr>
          <w:noProof/>
        </w:rPr>
        <w:fldChar w:fldCharType="end"/>
      </w:r>
    </w:p>
    <w:p w14:paraId="262252D8" w14:textId="37A49BD4"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lang w:eastAsia="en-NZ"/>
        </w:rPr>
        <w:tab/>
      </w:r>
      <w:r>
        <w:rPr>
          <w:noProof/>
        </w:rPr>
        <w:t>Proposed CRA 3 options</w:t>
      </w:r>
      <w:r>
        <w:rPr>
          <w:noProof/>
        </w:rPr>
        <w:tab/>
      </w:r>
      <w:r>
        <w:rPr>
          <w:noProof/>
        </w:rPr>
        <w:fldChar w:fldCharType="begin"/>
      </w:r>
      <w:r>
        <w:rPr>
          <w:noProof/>
        </w:rPr>
        <w:instrText xml:space="preserve"> PAGEREF _Toc532471888 \h </w:instrText>
      </w:r>
      <w:r>
        <w:rPr>
          <w:noProof/>
        </w:rPr>
      </w:r>
      <w:r>
        <w:rPr>
          <w:noProof/>
        </w:rPr>
        <w:fldChar w:fldCharType="separate"/>
      </w:r>
      <w:r>
        <w:rPr>
          <w:noProof/>
        </w:rPr>
        <w:t>10</w:t>
      </w:r>
      <w:r>
        <w:rPr>
          <w:noProof/>
        </w:rPr>
        <w:fldChar w:fldCharType="end"/>
      </w:r>
    </w:p>
    <w:p w14:paraId="0DD0EF5B" w14:textId="77777777" w:rsidR="008D2461" w:rsidRDefault="008D2461" w:rsidP="00710B4B">
      <w:pPr>
        <w:pStyle w:val="TOC1"/>
        <w:spacing w:after="60"/>
        <w:rPr>
          <w:rFonts w:asciiTheme="minorHAnsi" w:eastAsiaTheme="minorEastAsia" w:hAnsiTheme="minorHAnsi" w:cstheme="minorBidi"/>
          <w:b w:val="0"/>
          <w:sz w:val="22"/>
          <w:szCs w:val="22"/>
          <w:lang w:eastAsia="en-NZ"/>
        </w:rPr>
      </w:pPr>
      <w:r>
        <w:t>6</w:t>
      </w:r>
      <w:r>
        <w:rPr>
          <w:rFonts w:asciiTheme="minorHAnsi" w:eastAsiaTheme="minorEastAsia" w:hAnsiTheme="minorHAnsi" w:cstheme="minorBidi"/>
          <w:b w:val="0"/>
          <w:sz w:val="22"/>
          <w:szCs w:val="22"/>
          <w:lang w:eastAsia="en-NZ"/>
        </w:rPr>
        <w:tab/>
      </w:r>
      <w:r>
        <w:t>Review of the CRA 4 (Hawke’s Bay/Wellington) Rock Lobster Fishery</w:t>
      </w:r>
      <w:r>
        <w:tab/>
      </w:r>
      <w:r>
        <w:fldChar w:fldCharType="begin"/>
      </w:r>
      <w:r>
        <w:instrText xml:space="preserve"> PAGEREF _Toc532471889 \h </w:instrText>
      </w:r>
      <w:r>
        <w:fldChar w:fldCharType="separate"/>
      </w:r>
      <w:r>
        <w:t>12</w:t>
      </w:r>
      <w:r>
        <w:fldChar w:fldCharType="end"/>
      </w:r>
    </w:p>
    <w:p w14:paraId="237B2318" w14:textId="6D5A59E3"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lang w:eastAsia="en-NZ"/>
        </w:rPr>
        <w:tab/>
      </w:r>
      <w:r>
        <w:rPr>
          <w:noProof/>
        </w:rPr>
        <w:t>Fishery overview</w:t>
      </w:r>
      <w:r>
        <w:rPr>
          <w:noProof/>
        </w:rPr>
        <w:tab/>
      </w:r>
      <w:r>
        <w:rPr>
          <w:noProof/>
        </w:rPr>
        <w:fldChar w:fldCharType="begin"/>
      </w:r>
      <w:r>
        <w:rPr>
          <w:noProof/>
        </w:rPr>
        <w:instrText xml:space="preserve"> PAGEREF _Toc532471890 \h </w:instrText>
      </w:r>
      <w:r>
        <w:rPr>
          <w:noProof/>
        </w:rPr>
      </w:r>
      <w:r>
        <w:rPr>
          <w:noProof/>
        </w:rPr>
        <w:fldChar w:fldCharType="separate"/>
      </w:r>
      <w:r>
        <w:rPr>
          <w:noProof/>
        </w:rPr>
        <w:t>12</w:t>
      </w:r>
      <w:r>
        <w:rPr>
          <w:noProof/>
        </w:rPr>
        <w:fldChar w:fldCharType="end"/>
      </w:r>
    </w:p>
    <w:p w14:paraId="45FE0990" w14:textId="613917E2"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lang w:eastAsia="en-NZ"/>
        </w:rPr>
        <w:tab/>
      </w:r>
      <w:r>
        <w:rPr>
          <w:noProof/>
        </w:rPr>
        <w:t>CRA 4 stock status and previous actions</w:t>
      </w:r>
      <w:r>
        <w:rPr>
          <w:noProof/>
        </w:rPr>
        <w:tab/>
      </w:r>
      <w:r>
        <w:rPr>
          <w:noProof/>
        </w:rPr>
        <w:fldChar w:fldCharType="begin"/>
      </w:r>
      <w:r>
        <w:rPr>
          <w:noProof/>
        </w:rPr>
        <w:instrText xml:space="preserve"> PAGEREF _Toc532471891 \h </w:instrText>
      </w:r>
      <w:r>
        <w:rPr>
          <w:noProof/>
        </w:rPr>
      </w:r>
      <w:r>
        <w:rPr>
          <w:noProof/>
        </w:rPr>
        <w:fldChar w:fldCharType="separate"/>
      </w:r>
      <w:r>
        <w:rPr>
          <w:noProof/>
        </w:rPr>
        <w:t>15</w:t>
      </w:r>
      <w:r>
        <w:rPr>
          <w:noProof/>
        </w:rPr>
        <w:fldChar w:fldCharType="end"/>
      </w:r>
    </w:p>
    <w:p w14:paraId="3DC1BBD8" w14:textId="742218F1"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lang w:eastAsia="en-NZ"/>
        </w:rPr>
        <w:tab/>
      </w:r>
      <w:r>
        <w:rPr>
          <w:noProof/>
        </w:rPr>
        <w:t>The current CRA 4 management procedure</w:t>
      </w:r>
      <w:r>
        <w:rPr>
          <w:noProof/>
        </w:rPr>
        <w:tab/>
      </w:r>
      <w:r>
        <w:rPr>
          <w:noProof/>
        </w:rPr>
        <w:fldChar w:fldCharType="begin"/>
      </w:r>
      <w:r>
        <w:rPr>
          <w:noProof/>
        </w:rPr>
        <w:instrText xml:space="preserve"> PAGEREF _Toc532471892 \h </w:instrText>
      </w:r>
      <w:r>
        <w:rPr>
          <w:noProof/>
        </w:rPr>
      </w:r>
      <w:r>
        <w:rPr>
          <w:noProof/>
        </w:rPr>
        <w:fldChar w:fldCharType="separate"/>
      </w:r>
      <w:r>
        <w:rPr>
          <w:noProof/>
        </w:rPr>
        <w:t>16</w:t>
      </w:r>
      <w:r>
        <w:rPr>
          <w:noProof/>
        </w:rPr>
        <w:fldChar w:fldCharType="end"/>
      </w:r>
    </w:p>
    <w:p w14:paraId="4C5021D6" w14:textId="126B683E"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6.4</w:t>
      </w:r>
      <w:r>
        <w:rPr>
          <w:rFonts w:asciiTheme="minorHAnsi" w:eastAsiaTheme="minorEastAsia" w:hAnsiTheme="minorHAnsi" w:cstheme="minorBidi"/>
          <w:noProof/>
          <w:sz w:val="22"/>
          <w:szCs w:val="22"/>
          <w:lang w:eastAsia="en-NZ"/>
        </w:rPr>
        <w:tab/>
      </w:r>
      <w:r>
        <w:rPr>
          <w:noProof/>
        </w:rPr>
        <w:t>Proposed CRA 4 options</w:t>
      </w:r>
      <w:r>
        <w:rPr>
          <w:noProof/>
        </w:rPr>
        <w:tab/>
      </w:r>
      <w:r>
        <w:rPr>
          <w:noProof/>
        </w:rPr>
        <w:fldChar w:fldCharType="begin"/>
      </w:r>
      <w:r>
        <w:rPr>
          <w:noProof/>
        </w:rPr>
        <w:instrText xml:space="preserve"> PAGEREF _Toc532471893 \h </w:instrText>
      </w:r>
      <w:r>
        <w:rPr>
          <w:noProof/>
        </w:rPr>
      </w:r>
      <w:r>
        <w:rPr>
          <w:noProof/>
        </w:rPr>
        <w:fldChar w:fldCharType="separate"/>
      </w:r>
      <w:r>
        <w:rPr>
          <w:noProof/>
        </w:rPr>
        <w:t>16</w:t>
      </w:r>
      <w:r>
        <w:rPr>
          <w:noProof/>
        </w:rPr>
        <w:fldChar w:fldCharType="end"/>
      </w:r>
    </w:p>
    <w:p w14:paraId="392EFCD0" w14:textId="77777777" w:rsidR="008D2461" w:rsidRDefault="008D2461" w:rsidP="00710B4B">
      <w:pPr>
        <w:pStyle w:val="TOC1"/>
        <w:spacing w:after="60"/>
        <w:rPr>
          <w:rFonts w:asciiTheme="minorHAnsi" w:eastAsiaTheme="minorEastAsia" w:hAnsiTheme="minorHAnsi" w:cstheme="minorBidi"/>
          <w:b w:val="0"/>
          <w:sz w:val="22"/>
          <w:szCs w:val="22"/>
          <w:lang w:eastAsia="en-NZ"/>
        </w:rPr>
      </w:pPr>
      <w:r>
        <w:t>7</w:t>
      </w:r>
      <w:r>
        <w:rPr>
          <w:rFonts w:asciiTheme="minorHAnsi" w:eastAsiaTheme="minorEastAsia" w:hAnsiTheme="minorHAnsi" w:cstheme="minorBidi"/>
          <w:b w:val="0"/>
          <w:sz w:val="22"/>
          <w:szCs w:val="22"/>
          <w:lang w:eastAsia="en-NZ"/>
        </w:rPr>
        <w:tab/>
      </w:r>
      <w:r>
        <w:t>Review of the CRA 8 (Southern) Rock Lobster Fishery</w:t>
      </w:r>
      <w:r>
        <w:tab/>
      </w:r>
      <w:r>
        <w:fldChar w:fldCharType="begin"/>
      </w:r>
      <w:r>
        <w:instrText xml:space="preserve"> PAGEREF _Toc532471894 \h </w:instrText>
      </w:r>
      <w:r>
        <w:fldChar w:fldCharType="separate"/>
      </w:r>
      <w:r>
        <w:t>18</w:t>
      </w:r>
      <w:r>
        <w:fldChar w:fldCharType="end"/>
      </w:r>
    </w:p>
    <w:p w14:paraId="5AA58AE2" w14:textId="0F5C455E"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2"/>
          <w:szCs w:val="22"/>
          <w:lang w:eastAsia="en-NZ"/>
        </w:rPr>
        <w:tab/>
      </w:r>
      <w:r>
        <w:rPr>
          <w:noProof/>
        </w:rPr>
        <w:t>Fishery overview</w:t>
      </w:r>
      <w:r>
        <w:rPr>
          <w:noProof/>
        </w:rPr>
        <w:tab/>
      </w:r>
      <w:r>
        <w:rPr>
          <w:noProof/>
        </w:rPr>
        <w:fldChar w:fldCharType="begin"/>
      </w:r>
      <w:r>
        <w:rPr>
          <w:noProof/>
        </w:rPr>
        <w:instrText xml:space="preserve"> PAGEREF _Toc532471895 \h </w:instrText>
      </w:r>
      <w:r>
        <w:rPr>
          <w:noProof/>
        </w:rPr>
      </w:r>
      <w:r>
        <w:rPr>
          <w:noProof/>
        </w:rPr>
        <w:fldChar w:fldCharType="separate"/>
      </w:r>
      <w:r>
        <w:rPr>
          <w:noProof/>
        </w:rPr>
        <w:t>18</w:t>
      </w:r>
      <w:r>
        <w:rPr>
          <w:noProof/>
        </w:rPr>
        <w:fldChar w:fldCharType="end"/>
      </w:r>
    </w:p>
    <w:p w14:paraId="1BCDD958" w14:textId="52BAB2CA"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2"/>
          <w:szCs w:val="22"/>
          <w:lang w:eastAsia="en-NZ"/>
        </w:rPr>
        <w:tab/>
      </w:r>
      <w:r>
        <w:rPr>
          <w:noProof/>
        </w:rPr>
        <w:t>CRA 8 stock status</w:t>
      </w:r>
      <w:r>
        <w:rPr>
          <w:noProof/>
        </w:rPr>
        <w:tab/>
      </w:r>
      <w:r>
        <w:rPr>
          <w:noProof/>
        </w:rPr>
        <w:fldChar w:fldCharType="begin"/>
      </w:r>
      <w:r>
        <w:rPr>
          <w:noProof/>
        </w:rPr>
        <w:instrText xml:space="preserve"> PAGEREF _Toc532471896 \h </w:instrText>
      </w:r>
      <w:r>
        <w:rPr>
          <w:noProof/>
        </w:rPr>
      </w:r>
      <w:r>
        <w:rPr>
          <w:noProof/>
        </w:rPr>
        <w:fldChar w:fldCharType="separate"/>
      </w:r>
      <w:r>
        <w:rPr>
          <w:noProof/>
        </w:rPr>
        <w:t>20</w:t>
      </w:r>
      <w:r>
        <w:rPr>
          <w:noProof/>
        </w:rPr>
        <w:fldChar w:fldCharType="end"/>
      </w:r>
    </w:p>
    <w:p w14:paraId="4317C542" w14:textId="27AD3491"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7.3</w:t>
      </w:r>
      <w:r>
        <w:rPr>
          <w:rFonts w:asciiTheme="minorHAnsi" w:eastAsiaTheme="minorEastAsia" w:hAnsiTheme="minorHAnsi" w:cstheme="minorBidi"/>
          <w:noProof/>
          <w:sz w:val="22"/>
          <w:szCs w:val="22"/>
          <w:lang w:eastAsia="en-NZ"/>
        </w:rPr>
        <w:tab/>
      </w:r>
      <w:r>
        <w:rPr>
          <w:noProof/>
        </w:rPr>
        <w:t>The current CRA 8 management procedure</w:t>
      </w:r>
      <w:r>
        <w:rPr>
          <w:noProof/>
        </w:rPr>
        <w:tab/>
      </w:r>
      <w:r>
        <w:rPr>
          <w:noProof/>
        </w:rPr>
        <w:fldChar w:fldCharType="begin"/>
      </w:r>
      <w:r>
        <w:rPr>
          <w:noProof/>
        </w:rPr>
        <w:instrText xml:space="preserve"> PAGEREF _Toc532471897 \h </w:instrText>
      </w:r>
      <w:r>
        <w:rPr>
          <w:noProof/>
        </w:rPr>
      </w:r>
      <w:r>
        <w:rPr>
          <w:noProof/>
        </w:rPr>
        <w:fldChar w:fldCharType="separate"/>
      </w:r>
      <w:r>
        <w:rPr>
          <w:noProof/>
        </w:rPr>
        <w:t>21</w:t>
      </w:r>
      <w:r>
        <w:rPr>
          <w:noProof/>
        </w:rPr>
        <w:fldChar w:fldCharType="end"/>
      </w:r>
    </w:p>
    <w:p w14:paraId="01F748FA" w14:textId="7944D60B"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7.4</w:t>
      </w:r>
      <w:r>
        <w:rPr>
          <w:rFonts w:asciiTheme="minorHAnsi" w:eastAsiaTheme="minorEastAsia" w:hAnsiTheme="minorHAnsi" w:cstheme="minorBidi"/>
          <w:noProof/>
          <w:sz w:val="22"/>
          <w:szCs w:val="22"/>
          <w:lang w:eastAsia="en-NZ"/>
        </w:rPr>
        <w:tab/>
      </w:r>
      <w:r>
        <w:rPr>
          <w:noProof/>
        </w:rPr>
        <w:t>Proposed CRA 8 options</w:t>
      </w:r>
      <w:r>
        <w:rPr>
          <w:noProof/>
        </w:rPr>
        <w:tab/>
      </w:r>
      <w:r>
        <w:rPr>
          <w:noProof/>
        </w:rPr>
        <w:fldChar w:fldCharType="begin"/>
      </w:r>
      <w:r>
        <w:rPr>
          <w:noProof/>
        </w:rPr>
        <w:instrText xml:space="preserve"> PAGEREF _Toc532471898 \h </w:instrText>
      </w:r>
      <w:r>
        <w:rPr>
          <w:noProof/>
        </w:rPr>
      </w:r>
      <w:r>
        <w:rPr>
          <w:noProof/>
        </w:rPr>
        <w:fldChar w:fldCharType="separate"/>
      </w:r>
      <w:r>
        <w:rPr>
          <w:noProof/>
        </w:rPr>
        <w:t>22</w:t>
      </w:r>
      <w:r>
        <w:rPr>
          <w:noProof/>
        </w:rPr>
        <w:fldChar w:fldCharType="end"/>
      </w:r>
    </w:p>
    <w:p w14:paraId="06B743B0" w14:textId="07E91BEA" w:rsidR="008D2461" w:rsidRDefault="008D2461" w:rsidP="00710B4B">
      <w:pPr>
        <w:pStyle w:val="TOC1"/>
        <w:spacing w:after="60"/>
        <w:rPr>
          <w:rFonts w:asciiTheme="minorHAnsi" w:eastAsiaTheme="minorEastAsia" w:hAnsiTheme="minorHAnsi" w:cstheme="minorBidi"/>
          <w:b w:val="0"/>
          <w:sz w:val="22"/>
          <w:szCs w:val="22"/>
          <w:lang w:eastAsia="en-NZ"/>
        </w:rPr>
      </w:pPr>
      <w:r>
        <w:t>8</w:t>
      </w:r>
      <w:r>
        <w:rPr>
          <w:rFonts w:asciiTheme="minorHAnsi" w:eastAsiaTheme="minorEastAsia" w:hAnsiTheme="minorHAnsi" w:cstheme="minorBidi"/>
          <w:b w:val="0"/>
          <w:sz w:val="22"/>
          <w:szCs w:val="22"/>
          <w:lang w:eastAsia="en-NZ"/>
        </w:rPr>
        <w:tab/>
      </w:r>
      <w:r w:rsidR="00F45D37">
        <w:t>Other relevant m</w:t>
      </w:r>
      <w:r>
        <w:t>atters</w:t>
      </w:r>
      <w:r>
        <w:tab/>
      </w:r>
      <w:r>
        <w:fldChar w:fldCharType="begin"/>
      </w:r>
      <w:r>
        <w:instrText xml:space="preserve"> PAGEREF _Toc532471899 \h </w:instrText>
      </w:r>
      <w:r>
        <w:fldChar w:fldCharType="separate"/>
      </w:r>
      <w:r>
        <w:t>24</w:t>
      </w:r>
      <w:r>
        <w:fldChar w:fldCharType="end"/>
      </w:r>
    </w:p>
    <w:p w14:paraId="3FAC7881" w14:textId="7185BCE6" w:rsidR="008D2461" w:rsidRDefault="008D2461">
      <w:pPr>
        <w:pStyle w:val="TOC2"/>
        <w:rPr>
          <w:rFonts w:asciiTheme="minorHAnsi" w:eastAsiaTheme="minorEastAsia" w:hAnsiTheme="minorHAnsi" w:cstheme="minorBidi"/>
          <w:noProof/>
          <w:sz w:val="22"/>
          <w:szCs w:val="22"/>
          <w:lang w:eastAsia="en-NZ"/>
        </w:rPr>
      </w:pPr>
      <w:r w:rsidRPr="00B47941">
        <w:rPr>
          <w:noProof/>
          <w14:scene3d>
            <w14:camera w14:prst="orthographicFront"/>
            <w14:lightRig w14:rig="threePt" w14:dir="t">
              <w14:rot w14:lat="0" w14:lon="0" w14:rev="0"/>
            </w14:lightRig>
          </w14:scene3d>
        </w:rPr>
        <w:t>8.1</w:t>
      </w:r>
      <w:r>
        <w:rPr>
          <w:rFonts w:asciiTheme="minorHAnsi" w:eastAsiaTheme="minorEastAsia" w:hAnsiTheme="minorHAnsi" w:cstheme="minorBidi"/>
          <w:noProof/>
          <w:sz w:val="22"/>
          <w:szCs w:val="22"/>
          <w:lang w:eastAsia="en-NZ"/>
        </w:rPr>
        <w:tab/>
      </w:r>
      <w:r w:rsidR="007309A9">
        <w:rPr>
          <w:noProof/>
        </w:rPr>
        <w:t>Deemed Value r</w:t>
      </w:r>
      <w:r>
        <w:rPr>
          <w:noProof/>
        </w:rPr>
        <w:t>ates</w:t>
      </w:r>
      <w:r>
        <w:rPr>
          <w:noProof/>
        </w:rPr>
        <w:tab/>
      </w:r>
      <w:r>
        <w:rPr>
          <w:noProof/>
        </w:rPr>
        <w:fldChar w:fldCharType="begin"/>
      </w:r>
      <w:r>
        <w:rPr>
          <w:noProof/>
        </w:rPr>
        <w:instrText xml:space="preserve"> PAGEREF _Toc532471900 \h </w:instrText>
      </w:r>
      <w:r>
        <w:rPr>
          <w:noProof/>
        </w:rPr>
      </w:r>
      <w:r>
        <w:rPr>
          <w:noProof/>
        </w:rPr>
        <w:fldChar w:fldCharType="separate"/>
      </w:r>
      <w:r>
        <w:rPr>
          <w:noProof/>
        </w:rPr>
        <w:t>24</w:t>
      </w:r>
      <w:r>
        <w:rPr>
          <w:noProof/>
        </w:rPr>
        <w:fldChar w:fldCharType="end"/>
      </w:r>
    </w:p>
    <w:p w14:paraId="5697B4DC" w14:textId="7E94E667" w:rsidR="008D2461" w:rsidRDefault="008D2461">
      <w:pPr>
        <w:pStyle w:val="TOC1"/>
        <w:rPr>
          <w:rFonts w:asciiTheme="minorHAnsi" w:eastAsiaTheme="minorEastAsia" w:hAnsiTheme="minorHAnsi" w:cstheme="minorBidi"/>
          <w:b w:val="0"/>
          <w:sz w:val="22"/>
          <w:szCs w:val="22"/>
          <w:lang w:eastAsia="en-NZ"/>
        </w:rPr>
      </w:pPr>
      <w:r>
        <w:t>9</w:t>
      </w:r>
      <w:r>
        <w:rPr>
          <w:rFonts w:asciiTheme="minorHAnsi" w:eastAsiaTheme="minorEastAsia" w:hAnsiTheme="minorHAnsi" w:cstheme="minorBidi"/>
          <w:b w:val="0"/>
          <w:sz w:val="22"/>
          <w:szCs w:val="22"/>
          <w:lang w:eastAsia="en-NZ"/>
        </w:rPr>
        <w:tab/>
      </w:r>
      <w:r w:rsidR="00F45D37">
        <w:t>Further i</w:t>
      </w:r>
      <w:r>
        <w:t>nformation</w:t>
      </w:r>
      <w:r>
        <w:tab/>
      </w:r>
      <w:r>
        <w:fldChar w:fldCharType="begin"/>
      </w:r>
      <w:r>
        <w:instrText xml:space="preserve"> PAGEREF _Toc532471901 \h </w:instrText>
      </w:r>
      <w:r>
        <w:fldChar w:fldCharType="separate"/>
      </w:r>
      <w:r>
        <w:t>25</w:t>
      </w:r>
      <w:r>
        <w:fldChar w:fldCharType="end"/>
      </w:r>
    </w:p>
    <w:p w14:paraId="60D4536A" w14:textId="77777777" w:rsidR="008D2461" w:rsidRDefault="008D2461">
      <w:pPr>
        <w:pStyle w:val="TOC1"/>
        <w:rPr>
          <w:lang w:eastAsia="en-NZ"/>
        </w:rPr>
      </w:pPr>
    </w:p>
    <w:p w14:paraId="15023BD5" w14:textId="2448DA63" w:rsidR="008D2461" w:rsidRDefault="00F45D37" w:rsidP="007309A9">
      <w:pPr>
        <w:pStyle w:val="TOC1"/>
        <w:spacing w:after="60"/>
        <w:rPr>
          <w:rFonts w:asciiTheme="minorHAnsi" w:eastAsiaTheme="minorEastAsia" w:hAnsiTheme="minorHAnsi" w:cstheme="minorBidi"/>
          <w:b w:val="0"/>
          <w:sz w:val="22"/>
          <w:szCs w:val="22"/>
          <w:lang w:eastAsia="en-NZ"/>
        </w:rPr>
      </w:pPr>
      <w:r>
        <w:rPr>
          <w:lang w:eastAsia="en-NZ"/>
        </w:rPr>
        <w:t>Appendix 1: Statutory c</w:t>
      </w:r>
      <w:r w:rsidR="008D2461">
        <w:rPr>
          <w:lang w:eastAsia="en-NZ"/>
        </w:rPr>
        <w:t>onsiderations</w:t>
      </w:r>
      <w:r w:rsidR="008D2461">
        <w:tab/>
      </w:r>
      <w:r w:rsidR="008D2461">
        <w:fldChar w:fldCharType="begin"/>
      </w:r>
      <w:r w:rsidR="008D2461">
        <w:instrText xml:space="preserve"> PAGEREF _Toc532471902 \h </w:instrText>
      </w:r>
      <w:r w:rsidR="008D2461">
        <w:fldChar w:fldCharType="separate"/>
      </w:r>
      <w:r w:rsidR="008D2461">
        <w:t>26</w:t>
      </w:r>
      <w:r w:rsidR="008D2461">
        <w:fldChar w:fldCharType="end"/>
      </w:r>
    </w:p>
    <w:p w14:paraId="11BE210A" w14:textId="77777777" w:rsidR="008D2461" w:rsidRDefault="008D2461">
      <w:pPr>
        <w:pStyle w:val="TOC2"/>
        <w:rPr>
          <w:rFonts w:asciiTheme="minorHAnsi" w:eastAsiaTheme="minorEastAsia" w:hAnsiTheme="minorHAnsi" w:cstheme="minorBidi"/>
          <w:noProof/>
          <w:sz w:val="22"/>
          <w:szCs w:val="22"/>
          <w:lang w:eastAsia="en-NZ"/>
        </w:rPr>
      </w:pPr>
      <w:r>
        <w:rPr>
          <w:noProof/>
        </w:rPr>
        <w:t>Section 5(a) – International Obligations</w:t>
      </w:r>
      <w:r>
        <w:rPr>
          <w:noProof/>
        </w:rPr>
        <w:tab/>
      </w:r>
      <w:r>
        <w:rPr>
          <w:noProof/>
        </w:rPr>
        <w:fldChar w:fldCharType="begin"/>
      </w:r>
      <w:r>
        <w:rPr>
          <w:noProof/>
        </w:rPr>
        <w:instrText xml:space="preserve"> PAGEREF _Toc532471903 \h </w:instrText>
      </w:r>
      <w:r>
        <w:rPr>
          <w:noProof/>
        </w:rPr>
      </w:r>
      <w:r>
        <w:rPr>
          <w:noProof/>
        </w:rPr>
        <w:fldChar w:fldCharType="separate"/>
      </w:r>
      <w:r>
        <w:rPr>
          <w:noProof/>
        </w:rPr>
        <w:t>26</w:t>
      </w:r>
      <w:r>
        <w:rPr>
          <w:noProof/>
        </w:rPr>
        <w:fldChar w:fldCharType="end"/>
      </w:r>
    </w:p>
    <w:p w14:paraId="46063B1F" w14:textId="77777777" w:rsidR="008D2461" w:rsidRDefault="008D2461">
      <w:pPr>
        <w:pStyle w:val="TOC2"/>
        <w:rPr>
          <w:rFonts w:asciiTheme="minorHAnsi" w:eastAsiaTheme="minorEastAsia" w:hAnsiTheme="minorHAnsi" w:cstheme="minorBidi"/>
          <w:noProof/>
          <w:sz w:val="22"/>
          <w:szCs w:val="22"/>
          <w:lang w:eastAsia="en-NZ"/>
        </w:rPr>
      </w:pPr>
      <w:r>
        <w:rPr>
          <w:noProof/>
        </w:rPr>
        <w:t>Section 5(b) – Treaty of Waitangi (Fisheries Claims) Settlement Act 1992</w:t>
      </w:r>
      <w:r>
        <w:rPr>
          <w:noProof/>
        </w:rPr>
        <w:tab/>
      </w:r>
      <w:r>
        <w:rPr>
          <w:noProof/>
        </w:rPr>
        <w:fldChar w:fldCharType="begin"/>
      </w:r>
      <w:r>
        <w:rPr>
          <w:noProof/>
        </w:rPr>
        <w:instrText xml:space="preserve"> PAGEREF _Toc532471904 \h </w:instrText>
      </w:r>
      <w:r>
        <w:rPr>
          <w:noProof/>
        </w:rPr>
      </w:r>
      <w:r>
        <w:rPr>
          <w:noProof/>
        </w:rPr>
        <w:fldChar w:fldCharType="separate"/>
      </w:r>
      <w:r>
        <w:rPr>
          <w:noProof/>
        </w:rPr>
        <w:t>26</w:t>
      </w:r>
      <w:r>
        <w:rPr>
          <w:noProof/>
        </w:rPr>
        <w:fldChar w:fldCharType="end"/>
      </w:r>
    </w:p>
    <w:p w14:paraId="781700D4" w14:textId="77777777" w:rsidR="008D2461" w:rsidRDefault="008D2461">
      <w:pPr>
        <w:pStyle w:val="TOC2"/>
        <w:rPr>
          <w:rFonts w:asciiTheme="minorHAnsi" w:eastAsiaTheme="minorEastAsia" w:hAnsiTheme="minorHAnsi" w:cstheme="minorBidi"/>
          <w:noProof/>
          <w:sz w:val="22"/>
          <w:szCs w:val="22"/>
          <w:lang w:eastAsia="en-NZ"/>
        </w:rPr>
      </w:pPr>
      <w:r>
        <w:rPr>
          <w:noProof/>
        </w:rPr>
        <w:t>Section 8 – Purpose of the Fisheries Act 1996</w:t>
      </w:r>
      <w:r>
        <w:rPr>
          <w:noProof/>
        </w:rPr>
        <w:tab/>
      </w:r>
      <w:r>
        <w:rPr>
          <w:noProof/>
        </w:rPr>
        <w:fldChar w:fldCharType="begin"/>
      </w:r>
      <w:r>
        <w:rPr>
          <w:noProof/>
        </w:rPr>
        <w:instrText xml:space="preserve"> PAGEREF _Toc532471905 \h </w:instrText>
      </w:r>
      <w:r>
        <w:rPr>
          <w:noProof/>
        </w:rPr>
      </w:r>
      <w:r>
        <w:rPr>
          <w:noProof/>
        </w:rPr>
        <w:fldChar w:fldCharType="separate"/>
      </w:r>
      <w:r>
        <w:rPr>
          <w:noProof/>
        </w:rPr>
        <w:t>26</w:t>
      </w:r>
      <w:r>
        <w:rPr>
          <w:noProof/>
        </w:rPr>
        <w:fldChar w:fldCharType="end"/>
      </w:r>
    </w:p>
    <w:p w14:paraId="2587CCCA" w14:textId="77777777" w:rsidR="008D2461" w:rsidRDefault="008D2461">
      <w:pPr>
        <w:pStyle w:val="TOC2"/>
        <w:rPr>
          <w:rFonts w:asciiTheme="minorHAnsi" w:eastAsiaTheme="minorEastAsia" w:hAnsiTheme="minorHAnsi" w:cstheme="minorBidi"/>
          <w:noProof/>
          <w:sz w:val="22"/>
          <w:szCs w:val="22"/>
          <w:lang w:eastAsia="en-NZ"/>
        </w:rPr>
      </w:pPr>
      <w:r>
        <w:rPr>
          <w:noProof/>
        </w:rPr>
        <w:t>Section 9 – Environmental principles</w:t>
      </w:r>
      <w:r>
        <w:rPr>
          <w:noProof/>
        </w:rPr>
        <w:tab/>
      </w:r>
      <w:r>
        <w:rPr>
          <w:noProof/>
        </w:rPr>
        <w:fldChar w:fldCharType="begin"/>
      </w:r>
      <w:r>
        <w:rPr>
          <w:noProof/>
        </w:rPr>
        <w:instrText xml:space="preserve"> PAGEREF _Toc532471906 \h </w:instrText>
      </w:r>
      <w:r>
        <w:rPr>
          <w:noProof/>
        </w:rPr>
      </w:r>
      <w:r>
        <w:rPr>
          <w:noProof/>
        </w:rPr>
        <w:fldChar w:fldCharType="separate"/>
      </w:r>
      <w:r>
        <w:rPr>
          <w:noProof/>
        </w:rPr>
        <w:t>27</w:t>
      </w:r>
      <w:r>
        <w:rPr>
          <w:noProof/>
        </w:rPr>
        <w:fldChar w:fldCharType="end"/>
      </w:r>
    </w:p>
    <w:p w14:paraId="65C819F4" w14:textId="77777777" w:rsidR="008D2461" w:rsidRDefault="008D2461">
      <w:pPr>
        <w:pStyle w:val="TOC2"/>
        <w:rPr>
          <w:rFonts w:asciiTheme="minorHAnsi" w:eastAsiaTheme="minorEastAsia" w:hAnsiTheme="minorHAnsi" w:cstheme="minorBidi"/>
          <w:noProof/>
          <w:sz w:val="22"/>
          <w:szCs w:val="22"/>
          <w:lang w:eastAsia="en-NZ"/>
        </w:rPr>
      </w:pPr>
      <w:r>
        <w:rPr>
          <w:noProof/>
        </w:rPr>
        <w:t>Section 10 – Information Principles</w:t>
      </w:r>
      <w:r>
        <w:rPr>
          <w:noProof/>
        </w:rPr>
        <w:tab/>
      </w:r>
      <w:r>
        <w:rPr>
          <w:noProof/>
        </w:rPr>
        <w:fldChar w:fldCharType="begin"/>
      </w:r>
      <w:r>
        <w:rPr>
          <w:noProof/>
        </w:rPr>
        <w:instrText xml:space="preserve"> PAGEREF _Toc532471907 \h </w:instrText>
      </w:r>
      <w:r>
        <w:rPr>
          <w:noProof/>
        </w:rPr>
      </w:r>
      <w:r>
        <w:rPr>
          <w:noProof/>
        </w:rPr>
        <w:fldChar w:fldCharType="separate"/>
      </w:r>
      <w:r>
        <w:rPr>
          <w:noProof/>
        </w:rPr>
        <w:t>28</w:t>
      </w:r>
      <w:r>
        <w:rPr>
          <w:noProof/>
        </w:rPr>
        <w:fldChar w:fldCharType="end"/>
      </w:r>
    </w:p>
    <w:p w14:paraId="489884CD" w14:textId="77777777" w:rsidR="008D2461" w:rsidRDefault="008D2461">
      <w:pPr>
        <w:pStyle w:val="TOC2"/>
        <w:rPr>
          <w:rFonts w:asciiTheme="minorHAnsi" w:eastAsiaTheme="minorEastAsia" w:hAnsiTheme="minorHAnsi" w:cstheme="minorBidi"/>
          <w:noProof/>
          <w:sz w:val="22"/>
          <w:szCs w:val="22"/>
          <w:lang w:eastAsia="en-NZ"/>
        </w:rPr>
      </w:pPr>
      <w:r>
        <w:rPr>
          <w:noProof/>
        </w:rPr>
        <w:t>Section 11 – Sustainability Measures</w:t>
      </w:r>
      <w:r>
        <w:rPr>
          <w:noProof/>
        </w:rPr>
        <w:tab/>
      </w:r>
      <w:r>
        <w:rPr>
          <w:noProof/>
        </w:rPr>
        <w:fldChar w:fldCharType="begin"/>
      </w:r>
      <w:r>
        <w:rPr>
          <w:noProof/>
        </w:rPr>
        <w:instrText xml:space="preserve"> PAGEREF _Toc532471908 \h </w:instrText>
      </w:r>
      <w:r>
        <w:rPr>
          <w:noProof/>
        </w:rPr>
      </w:r>
      <w:r>
        <w:rPr>
          <w:noProof/>
        </w:rPr>
        <w:fldChar w:fldCharType="separate"/>
      </w:r>
      <w:r>
        <w:rPr>
          <w:noProof/>
        </w:rPr>
        <w:t>29</w:t>
      </w:r>
      <w:r>
        <w:rPr>
          <w:noProof/>
        </w:rPr>
        <w:fldChar w:fldCharType="end"/>
      </w:r>
    </w:p>
    <w:p w14:paraId="1E2B7A2D" w14:textId="77777777" w:rsidR="008D2461" w:rsidRDefault="008D2461">
      <w:pPr>
        <w:pStyle w:val="TOC2"/>
        <w:rPr>
          <w:rFonts w:asciiTheme="minorHAnsi" w:eastAsiaTheme="minorEastAsia" w:hAnsiTheme="minorHAnsi" w:cstheme="minorBidi"/>
          <w:noProof/>
          <w:sz w:val="22"/>
          <w:szCs w:val="22"/>
          <w:lang w:eastAsia="en-NZ"/>
        </w:rPr>
      </w:pPr>
      <w:r>
        <w:rPr>
          <w:noProof/>
        </w:rPr>
        <w:t>Section 12 – Consultation and Input and Participation of Tangata Whenua</w:t>
      </w:r>
      <w:r>
        <w:rPr>
          <w:noProof/>
        </w:rPr>
        <w:tab/>
      </w:r>
      <w:r>
        <w:rPr>
          <w:noProof/>
        </w:rPr>
        <w:fldChar w:fldCharType="begin"/>
      </w:r>
      <w:r>
        <w:rPr>
          <w:noProof/>
        </w:rPr>
        <w:instrText xml:space="preserve"> PAGEREF _Toc532471909 \h </w:instrText>
      </w:r>
      <w:r>
        <w:rPr>
          <w:noProof/>
        </w:rPr>
      </w:r>
      <w:r>
        <w:rPr>
          <w:noProof/>
        </w:rPr>
        <w:fldChar w:fldCharType="separate"/>
      </w:r>
      <w:r>
        <w:rPr>
          <w:noProof/>
        </w:rPr>
        <w:t>29</w:t>
      </w:r>
      <w:r>
        <w:rPr>
          <w:noProof/>
        </w:rPr>
        <w:fldChar w:fldCharType="end"/>
      </w:r>
    </w:p>
    <w:p w14:paraId="04FAD1B0" w14:textId="77777777" w:rsidR="008D2461" w:rsidRDefault="008D2461">
      <w:pPr>
        <w:pStyle w:val="TOC2"/>
        <w:rPr>
          <w:rFonts w:asciiTheme="minorHAnsi" w:eastAsiaTheme="minorEastAsia" w:hAnsiTheme="minorHAnsi" w:cstheme="minorBidi"/>
          <w:noProof/>
          <w:sz w:val="22"/>
          <w:szCs w:val="22"/>
          <w:lang w:eastAsia="en-NZ"/>
        </w:rPr>
      </w:pPr>
      <w:r>
        <w:rPr>
          <w:noProof/>
        </w:rPr>
        <w:t>Section 13 - Setting and Variation of The Total Allowable Catch</w:t>
      </w:r>
      <w:r>
        <w:rPr>
          <w:noProof/>
        </w:rPr>
        <w:tab/>
      </w:r>
      <w:r>
        <w:rPr>
          <w:noProof/>
        </w:rPr>
        <w:fldChar w:fldCharType="begin"/>
      </w:r>
      <w:r>
        <w:rPr>
          <w:noProof/>
        </w:rPr>
        <w:instrText xml:space="preserve"> PAGEREF _Toc532471910 \h </w:instrText>
      </w:r>
      <w:r>
        <w:rPr>
          <w:noProof/>
        </w:rPr>
      </w:r>
      <w:r>
        <w:rPr>
          <w:noProof/>
        </w:rPr>
        <w:fldChar w:fldCharType="separate"/>
      </w:r>
      <w:r>
        <w:rPr>
          <w:noProof/>
        </w:rPr>
        <w:t>31</w:t>
      </w:r>
      <w:r>
        <w:rPr>
          <w:noProof/>
        </w:rPr>
        <w:fldChar w:fldCharType="end"/>
      </w:r>
    </w:p>
    <w:p w14:paraId="254B0F67" w14:textId="77777777" w:rsidR="008D2461" w:rsidRDefault="008D2461">
      <w:pPr>
        <w:pStyle w:val="TOC2"/>
        <w:rPr>
          <w:rFonts w:asciiTheme="minorHAnsi" w:eastAsiaTheme="minorEastAsia" w:hAnsiTheme="minorHAnsi" w:cstheme="minorBidi"/>
          <w:noProof/>
          <w:sz w:val="22"/>
          <w:szCs w:val="22"/>
          <w:lang w:eastAsia="en-NZ"/>
        </w:rPr>
      </w:pPr>
      <w:r>
        <w:rPr>
          <w:noProof/>
        </w:rPr>
        <w:t>Sections 20 &amp; 21 - Setting and Variation of the Total Allowable Commercial Catch</w:t>
      </w:r>
      <w:r>
        <w:rPr>
          <w:noProof/>
        </w:rPr>
        <w:tab/>
      </w:r>
      <w:r>
        <w:rPr>
          <w:noProof/>
        </w:rPr>
        <w:fldChar w:fldCharType="begin"/>
      </w:r>
      <w:r>
        <w:rPr>
          <w:noProof/>
        </w:rPr>
        <w:instrText xml:space="preserve"> PAGEREF _Toc532471911 \h </w:instrText>
      </w:r>
      <w:r>
        <w:rPr>
          <w:noProof/>
        </w:rPr>
      </w:r>
      <w:r>
        <w:rPr>
          <w:noProof/>
        </w:rPr>
        <w:fldChar w:fldCharType="separate"/>
      </w:r>
      <w:r>
        <w:rPr>
          <w:noProof/>
        </w:rPr>
        <w:t>33</w:t>
      </w:r>
      <w:r>
        <w:rPr>
          <w:noProof/>
        </w:rPr>
        <w:fldChar w:fldCharType="end"/>
      </w:r>
    </w:p>
    <w:p w14:paraId="31E569F6" w14:textId="77777777" w:rsidR="001E5202" w:rsidRDefault="001E5202" w:rsidP="001E5202">
      <w:pPr>
        <w:rPr>
          <w:rStyle w:val="TitleChar"/>
          <w:color w:val="FF0000"/>
        </w:rPr>
        <w:sectPr w:rsidR="001E5202" w:rsidSect="00F81F75">
          <w:headerReference w:type="default" r:id="rId20"/>
          <w:footerReference w:type="default" r:id="rId21"/>
          <w:pgSz w:w="11906" w:h="16838"/>
          <w:pgMar w:top="1440" w:right="1440" w:bottom="1440" w:left="1440" w:header="708" w:footer="708" w:gutter="0"/>
          <w:pgNumType w:fmt="lowerRoman" w:start="1"/>
          <w:cols w:space="708"/>
          <w:docGrid w:linePitch="360"/>
        </w:sectPr>
      </w:pPr>
      <w:r w:rsidRPr="003E063E">
        <w:rPr>
          <w:rFonts w:ascii="Arial" w:hAnsi="Arial" w:cs="Arial"/>
          <w:b/>
          <w:noProof/>
          <w:sz w:val="22"/>
          <w:szCs w:val="22"/>
        </w:rPr>
        <w:fldChar w:fldCharType="end"/>
      </w:r>
    </w:p>
    <w:p w14:paraId="720DD784" w14:textId="77777777" w:rsidR="00786D81" w:rsidRPr="00CF25F0" w:rsidRDefault="00786D81" w:rsidP="00222008">
      <w:pPr>
        <w:pStyle w:val="Heading1"/>
        <w:ind w:left="567" w:hanging="567"/>
      </w:pPr>
      <w:bookmarkStart w:id="2" w:name="_Toc418844527"/>
      <w:bookmarkStart w:id="3" w:name="_Toc419282878"/>
      <w:bookmarkStart w:id="4" w:name="_Toc436817011"/>
      <w:bookmarkStart w:id="5" w:name="_Toc436817159"/>
      <w:bookmarkStart w:id="6" w:name="_Toc469576722"/>
      <w:bookmarkStart w:id="7" w:name="_Toc500855013"/>
      <w:bookmarkStart w:id="8" w:name="_Toc501013868"/>
      <w:bookmarkStart w:id="9" w:name="_Toc501526363"/>
      <w:bookmarkStart w:id="10" w:name="_Toc501698611"/>
      <w:bookmarkStart w:id="11" w:name="_Toc503362753"/>
      <w:bookmarkStart w:id="12" w:name="_Toc531692784"/>
      <w:bookmarkStart w:id="13" w:name="_Toc532471877"/>
      <w:r w:rsidRPr="00CF25F0">
        <w:lastRenderedPageBreak/>
        <w:t>Submission Information</w:t>
      </w:r>
      <w:bookmarkEnd w:id="2"/>
      <w:bookmarkEnd w:id="3"/>
      <w:bookmarkEnd w:id="4"/>
      <w:bookmarkEnd w:id="5"/>
      <w:bookmarkEnd w:id="6"/>
      <w:bookmarkEnd w:id="7"/>
      <w:bookmarkEnd w:id="8"/>
      <w:bookmarkEnd w:id="9"/>
      <w:bookmarkEnd w:id="10"/>
      <w:bookmarkEnd w:id="11"/>
      <w:bookmarkEnd w:id="12"/>
      <w:bookmarkEnd w:id="13"/>
    </w:p>
    <w:p w14:paraId="1811EAA7" w14:textId="36516898" w:rsidR="00786D81" w:rsidRPr="00BF40AF" w:rsidRDefault="00786D81" w:rsidP="00BF40AF">
      <w:pPr>
        <w:pStyle w:val="ListParagraph"/>
        <w:numPr>
          <w:ilvl w:val="0"/>
          <w:numId w:val="10"/>
        </w:numPr>
        <w:spacing w:after="0" w:line="240" w:lineRule="auto"/>
        <w:ind w:left="567" w:hanging="567"/>
        <w:jc w:val="left"/>
        <w:rPr>
          <w:rFonts w:ascii="Arial" w:hAnsi="Arial" w:cs="Arial"/>
          <w:szCs w:val="20"/>
        </w:rPr>
      </w:pPr>
      <w:r w:rsidRPr="00BF40AF">
        <w:rPr>
          <w:rFonts w:ascii="Arial" w:hAnsi="Arial" w:cs="Arial"/>
          <w:szCs w:val="20"/>
        </w:rPr>
        <w:t xml:space="preserve">Fisheries New Zealand </w:t>
      </w:r>
      <w:r w:rsidR="00DB2902" w:rsidRPr="00BF40AF">
        <w:rPr>
          <w:rFonts w:ascii="Arial" w:hAnsi="Arial" w:cs="Arial"/>
          <w:szCs w:val="20"/>
        </w:rPr>
        <w:t xml:space="preserve">and the multi-sector National Rock Lobster Management Group (an advisor on rock lobster management matters) </w:t>
      </w:r>
      <w:r w:rsidRPr="00BF40AF">
        <w:rPr>
          <w:rFonts w:ascii="Arial" w:hAnsi="Arial" w:cs="Arial"/>
          <w:szCs w:val="20"/>
        </w:rPr>
        <w:t xml:space="preserve">welcomes written submissions on any or all of the </w:t>
      </w:r>
      <w:r w:rsidR="00F03F7D" w:rsidRPr="00BF40AF">
        <w:rPr>
          <w:rFonts w:ascii="Arial" w:hAnsi="Arial" w:cs="Arial"/>
          <w:szCs w:val="20"/>
        </w:rPr>
        <w:t xml:space="preserve">measures by </w:t>
      </w:r>
      <w:r w:rsidRPr="00BF40AF">
        <w:rPr>
          <w:rFonts w:ascii="Arial" w:hAnsi="Arial" w:cs="Arial"/>
          <w:szCs w:val="20"/>
        </w:rPr>
        <w:t>propos</w:t>
      </w:r>
      <w:r w:rsidR="00DB2902" w:rsidRPr="00BF40AF">
        <w:rPr>
          <w:rFonts w:ascii="Arial" w:hAnsi="Arial" w:cs="Arial"/>
          <w:szCs w:val="20"/>
        </w:rPr>
        <w:t xml:space="preserve">ed </w:t>
      </w:r>
      <w:r w:rsidRPr="00BF40AF">
        <w:rPr>
          <w:rFonts w:ascii="Arial" w:hAnsi="Arial" w:cs="Arial"/>
          <w:szCs w:val="20"/>
        </w:rPr>
        <w:t xml:space="preserve">in this </w:t>
      </w:r>
      <w:r w:rsidR="00F03F7D" w:rsidRPr="00BF40AF">
        <w:rPr>
          <w:rFonts w:ascii="Arial" w:hAnsi="Arial" w:cs="Arial"/>
          <w:szCs w:val="20"/>
        </w:rPr>
        <w:t>D</w:t>
      </w:r>
      <w:r w:rsidRPr="00BF40AF">
        <w:rPr>
          <w:rFonts w:ascii="Arial" w:hAnsi="Arial" w:cs="Arial"/>
          <w:szCs w:val="20"/>
        </w:rPr>
        <w:t xml:space="preserve">iscussion </w:t>
      </w:r>
      <w:r w:rsidR="00F03F7D" w:rsidRPr="00BF40AF">
        <w:rPr>
          <w:rFonts w:ascii="Arial" w:hAnsi="Arial" w:cs="Arial"/>
          <w:szCs w:val="20"/>
        </w:rPr>
        <w:t>P</w:t>
      </w:r>
      <w:r w:rsidRPr="00BF40AF">
        <w:rPr>
          <w:rFonts w:ascii="Arial" w:hAnsi="Arial" w:cs="Arial"/>
          <w:szCs w:val="20"/>
        </w:rPr>
        <w:t xml:space="preserve">aper. All written submissions must be received by Fisheries New Zealand no later than 5pm on </w:t>
      </w:r>
      <w:r w:rsidR="00D979B1" w:rsidRPr="00BF40AF">
        <w:rPr>
          <w:rFonts w:ascii="Arial" w:hAnsi="Arial" w:cs="Arial"/>
          <w:b/>
          <w:szCs w:val="20"/>
        </w:rPr>
        <w:t>Tuesday 12 February 2019</w:t>
      </w:r>
      <w:r w:rsidRPr="00BF40AF">
        <w:rPr>
          <w:rFonts w:ascii="Arial" w:hAnsi="Arial" w:cs="Arial"/>
          <w:szCs w:val="20"/>
        </w:rPr>
        <w:t>.</w:t>
      </w:r>
    </w:p>
    <w:p w14:paraId="0263BA59" w14:textId="77777777" w:rsidR="00786D81" w:rsidRPr="00BF40AF" w:rsidRDefault="00786D81" w:rsidP="00BF40AF">
      <w:pPr>
        <w:ind w:left="567" w:hanging="567"/>
        <w:rPr>
          <w:rFonts w:ascii="Arial" w:hAnsi="Arial" w:cs="Arial"/>
          <w:sz w:val="22"/>
        </w:rPr>
      </w:pPr>
    </w:p>
    <w:p w14:paraId="46F0AC38" w14:textId="77777777" w:rsidR="00786D81" w:rsidRPr="00BF40AF" w:rsidRDefault="00786D81" w:rsidP="00BF40AF">
      <w:pPr>
        <w:pStyle w:val="ListParagraph"/>
        <w:numPr>
          <w:ilvl w:val="0"/>
          <w:numId w:val="10"/>
        </w:numPr>
        <w:spacing w:after="0" w:line="240" w:lineRule="auto"/>
        <w:ind w:left="567" w:hanging="567"/>
        <w:jc w:val="left"/>
        <w:rPr>
          <w:rFonts w:ascii="Arial" w:hAnsi="Arial" w:cs="Arial"/>
          <w:szCs w:val="20"/>
        </w:rPr>
      </w:pPr>
      <w:r w:rsidRPr="00BF40AF">
        <w:rPr>
          <w:rFonts w:ascii="Arial" w:hAnsi="Arial" w:cs="Arial"/>
          <w:szCs w:val="20"/>
        </w:rPr>
        <w:t xml:space="preserve">Written submissions should be emailed to </w:t>
      </w:r>
      <w:hyperlink r:id="rId22" w:history="1">
        <w:r w:rsidRPr="00BF40AF">
          <w:rPr>
            <w:rFonts w:ascii="Arial" w:hAnsi="Arial" w:cs="Arial"/>
            <w:color w:val="0000FF"/>
            <w:szCs w:val="20"/>
            <w:u w:val="single"/>
          </w:rPr>
          <w:t>FMsubmissions@mpi.govt.nz</w:t>
        </w:r>
      </w:hyperlink>
    </w:p>
    <w:p w14:paraId="1A0BA98E" w14:textId="77777777" w:rsidR="00786D81" w:rsidRPr="00BF40AF" w:rsidRDefault="00786D81" w:rsidP="00BF40AF">
      <w:pPr>
        <w:pStyle w:val="ListParagraph"/>
        <w:spacing w:after="0" w:line="240" w:lineRule="auto"/>
        <w:ind w:left="1134" w:hanging="567"/>
        <w:rPr>
          <w:rFonts w:ascii="Arial" w:hAnsi="Arial" w:cs="Arial"/>
          <w:szCs w:val="20"/>
        </w:rPr>
      </w:pPr>
    </w:p>
    <w:p w14:paraId="4C746275" w14:textId="77777777" w:rsidR="00786D81" w:rsidRPr="00BF40AF" w:rsidRDefault="00786D81" w:rsidP="00BF40AF">
      <w:pPr>
        <w:pStyle w:val="ListParagraph"/>
        <w:spacing w:after="0" w:line="240" w:lineRule="auto"/>
        <w:ind w:left="567"/>
        <w:rPr>
          <w:rFonts w:ascii="Arial" w:hAnsi="Arial" w:cs="Arial"/>
          <w:szCs w:val="20"/>
        </w:rPr>
      </w:pPr>
      <w:r w:rsidRPr="00BF40AF">
        <w:rPr>
          <w:rFonts w:ascii="Arial" w:hAnsi="Arial" w:cs="Arial"/>
          <w:szCs w:val="20"/>
        </w:rPr>
        <w:t>or sent directly to:</w:t>
      </w:r>
    </w:p>
    <w:p w14:paraId="468C4FBA" w14:textId="77777777" w:rsidR="00795983" w:rsidRPr="00BF40AF" w:rsidRDefault="00795983" w:rsidP="00BF40AF">
      <w:pPr>
        <w:ind w:left="567"/>
        <w:rPr>
          <w:rFonts w:ascii="Arial" w:hAnsi="Arial" w:cs="Arial"/>
          <w:sz w:val="22"/>
        </w:rPr>
      </w:pPr>
    </w:p>
    <w:p w14:paraId="27F21359" w14:textId="41B0992B" w:rsidR="00786D81" w:rsidRPr="00BF40AF" w:rsidRDefault="00786D81" w:rsidP="00BF40AF">
      <w:pPr>
        <w:ind w:left="567"/>
        <w:rPr>
          <w:rFonts w:ascii="Arial" w:hAnsi="Arial" w:cs="Arial"/>
          <w:sz w:val="22"/>
        </w:rPr>
      </w:pPr>
      <w:r w:rsidRPr="00BF40AF">
        <w:rPr>
          <w:rFonts w:ascii="Arial" w:hAnsi="Arial" w:cs="Arial"/>
          <w:sz w:val="22"/>
        </w:rPr>
        <w:t>Sustainability Review 201</w:t>
      </w:r>
      <w:r w:rsidR="00F03F7D" w:rsidRPr="00BF40AF">
        <w:rPr>
          <w:rFonts w:ascii="Arial" w:hAnsi="Arial" w:cs="Arial"/>
          <w:sz w:val="22"/>
        </w:rPr>
        <w:t>9</w:t>
      </w:r>
    </w:p>
    <w:p w14:paraId="0CDD05F1" w14:textId="77777777" w:rsidR="00786D81" w:rsidRPr="00BF40AF" w:rsidRDefault="00786D81" w:rsidP="00BF40AF">
      <w:pPr>
        <w:ind w:left="567"/>
        <w:rPr>
          <w:rFonts w:ascii="Arial" w:hAnsi="Arial" w:cs="Arial"/>
          <w:sz w:val="22"/>
        </w:rPr>
      </w:pPr>
      <w:r w:rsidRPr="00BF40AF">
        <w:rPr>
          <w:rFonts w:ascii="Arial" w:hAnsi="Arial" w:cs="Arial"/>
          <w:sz w:val="22"/>
        </w:rPr>
        <w:t xml:space="preserve">Fisheries Management </w:t>
      </w:r>
    </w:p>
    <w:p w14:paraId="1639A267" w14:textId="69DAD343" w:rsidR="00786D81" w:rsidRPr="00BF40AF" w:rsidRDefault="00786D81" w:rsidP="00BF40AF">
      <w:pPr>
        <w:ind w:left="567"/>
        <w:rPr>
          <w:rFonts w:ascii="Arial" w:hAnsi="Arial" w:cs="Arial"/>
          <w:sz w:val="22"/>
        </w:rPr>
      </w:pPr>
      <w:r w:rsidRPr="00BF40AF">
        <w:rPr>
          <w:rFonts w:ascii="Arial" w:hAnsi="Arial" w:cs="Arial"/>
          <w:sz w:val="22"/>
        </w:rPr>
        <w:t>Fisheries New Zealand</w:t>
      </w:r>
    </w:p>
    <w:p w14:paraId="3C181792" w14:textId="77777777" w:rsidR="00786D81" w:rsidRPr="00BF40AF" w:rsidRDefault="00786D81" w:rsidP="00BF40AF">
      <w:pPr>
        <w:ind w:left="567"/>
        <w:rPr>
          <w:rFonts w:ascii="Arial" w:hAnsi="Arial" w:cs="Arial"/>
          <w:sz w:val="22"/>
        </w:rPr>
      </w:pPr>
      <w:r w:rsidRPr="00BF40AF">
        <w:rPr>
          <w:rFonts w:ascii="Arial" w:hAnsi="Arial" w:cs="Arial"/>
          <w:sz w:val="22"/>
        </w:rPr>
        <w:t>P O Box 2526</w:t>
      </w:r>
    </w:p>
    <w:p w14:paraId="034D00D4" w14:textId="1870B291" w:rsidR="00786D81" w:rsidRPr="00BF40AF" w:rsidRDefault="00786D81" w:rsidP="00BF40AF">
      <w:pPr>
        <w:ind w:left="567"/>
        <w:rPr>
          <w:rFonts w:ascii="Arial" w:hAnsi="Arial" w:cs="Arial"/>
          <w:sz w:val="22"/>
        </w:rPr>
      </w:pPr>
      <w:r w:rsidRPr="00BF40AF">
        <w:rPr>
          <w:rFonts w:ascii="Arial" w:hAnsi="Arial" w:cs="Arial"/>
          <w:sz w:val="22"/>
        </w:rPr>
        <w:t>Wellington 6</w:t>
      </w:r>
      <w:r w:rsidR="00D979B1" w:rsidRPr="00BF40AF">
        <w:rPr>
          <w:rFonts w:ascii="Arial" w:hAnsi="Arial" w:cs="Arial"/>
          <w:sz w:val="22"/>
        </w:rPr>
        <w:t>140</w:t>
      </w:r>
      <w:r w:rsidRPr="00BF40AF">
        <w:rPr>
          <w:rFonts w:ascii="Arial" w:hAnsi="Arial" w:cs="Arial"/>
          <w:sz w:val="22"/>
        </w:rPr>
        <w:t>.</w:t>
      </w:r>
    </w:p>
    <w:p w14:paraId="3C256EC0" w14:textId="77777777" w:rsidR="00786D81" w:rsidRPr="00BF40AF" w:rsidRDefault="00786D81" w:rsidP="00BF40AF">
      <w:pPr>
        <w:rPr>
          <w:rFonts w:ascii="Arial" w:hAnsi="Arial" w:cs="Arial"/>
        </w:rPr>
      </w:pPr>
    </w:p>
    <w:p w14:paraId="15757F06" w14:textId="619DBB05" w:rsidR="00786D81" w:rsidRPr="00BF40AF" w:rsidRDefault="00786D81" w:rsidP="00BF40AF">
      <w:pPr>
        <w:pStyle w:val="ListParagraph"/>
        <w:numPr>
          <w:ilvl w:val="0"/>
          <w:numId w:val="10"/>
        </w:numPr>
        <w:spacing w:after="0" w:line="240" w:lineRule="auto"/>
        <w:ind w:left="567" w:hanging="567"/>
        <w:jc w:val="left"/>
        <w:rPr>
          <w:rFonts w:ascii="Arial" w:hAnsi="Arial" w:cs="Arial"/>
          <w:szCs w:val="24"/>
        </w:rPr>
      </w:pPr>
      <w:r w:rsidRPr="00BF40AF">
        <w:rPr>
          <w:rFonts w:ascii="Arial" w:hAnsi="Arial" w:cs="Arial"/>
          <w:szCs w:val="20"/>
        </w:rPr>
        <w:t xml:space="preserve">All submissions are subject to the Official Information Act and can be released (along with </w:t>
      </w:r>
      <w:r w:rsidRPr="00BF40AF">
        <w:rPr>
          <w:rFonts w:ascii="Arial" w:hAnsi="Arial" w:cs="Arial"/>
          <w:szCs w:val="24"/>
        </w:rPr>
        <w:t xml:space="preserve">personal details of the submitter) under the Act. If you have specific reasons for wanting to have your submission or personal details withheld, please set out your reasons in the submission. </w:t>
      </w:r>
      <w:r w:rsidR="00795983" w:rsidRPr="00BF40AF">
        <w:rPr>
          <w:rFonts w:ascii="Arial" w:hAnsi="Arial" w:cs="Arial"/>
          <w:szCs w:val="24"/>
        </w:rPr>
        <w:t>Fisheries New Zealand</w:t>
      </w:r>
      <w:r w:rsidRPr="00BF40AF">
        <w:rPr>
          <w:rFonts w:ascii="Arial" w:hAnsi="Arial" w:cs="Arial"/>
          <w:szCs w:val="24"/>
        </w:rPr>
        <w:t xml:space="preserve"> will consider those reasons when making any assessment for the release of submissions if requested under the Official Information Act. </w:t>
      </w:r>
    </w:p>
    <w:p w14:paraId="25286278" w14:textId="533F7034" w:rsidR="00786D81" w:rsidRPr="00CF25F0" w:rsidRDefault="00786D81" w:rsidP="00786D81">
      <w:pPr>
        <w:tabs>
          <w:tab w:val="left" w:pos="8250"/>
        </w:tabs>
        <w:rPr>
          <w:rFonts w:ascii="Times New Roman" w:hAnsi="Times New Roman"/>
        </w:rPr>
      </w:pPr>
      <w:bookmarkStart w:id="14" w:name="_Toc501542859"/>
      <w:bookmarkStart w:id="15" w:name="_Toc501697906"/>
      <w:bookmarkStart w:id="16" w:name="_Toc469576728"/>
      <w:bookmarkStart w:id="17" w:name="_Toc500855019"/>
      <w:bookmarkStart w:id="18" w:name="_Toc501013873"/>
      <w:bookmarkStart w:id="19" w:name="_Toc501526368"/>
      <w:bookmarkStart w:id="20" w:name="_Toc501698615"/>
      <w:bookmarkStart w:id="21" w:name="_Toc503362765"/>
      <w:bookmarkEnd w:id="14"/>
      <w:bookmarkEnd w:id="15"/>
      <w:bookmarkEnd w:id="16"/>
      <w:bookmarkEnd w:id="17"/>
      <w:bookmarkEnd w:id="18"/>
      <w:bookmarkEnd w:id="19"/>
      <w:bookmarkEnd w:id="20"/>
      <w:bookmarkEnd w:id="21"/>
    </w:p>
    <w:p w14:paraId="195668D7" w14:textId="77777777" w:rsidR="00786D81" w:rsidRPr="00CF25F0" w:rsidRDefault="00786D81" w:rsidP="00786D81">
      <w:pPr>
        <w:keepNext/>
        <w:jc w:val="center"/>
        <w:rPr>
          <w:rFonts w:ascii="Times New Roman" w:hAnsi="Times New Roman"/>
          <w:noProof/>
          <w:lang w:eastAsia="en-NZ"/>
        </w:rPr>
        <w:sectPr w:rsidR="00786D81" w:rsidRPr="00CF25F0" w:rsidSect="00786D81">
          <w:footerReference w:type="even" r:id="rId23"/>
          <w:footerReference w:type="default" r:id="rId24"/>
          <w:pgSz w:w="11906" w:h="16838"/>
          <w:pgMar w:top="1134" w:right="1418" w:bottom="1134" w:left="1418" w:header="720" w:footer="720" w:gutter="0"/>
          <w:pgNumType w:start="1"/>
          <w:cols w:space="720"/>
          <w:docGrid w:linePitch="299"/>
        </w:sectPr>
      </w:pPr>
    </w:p>
    <w:p w14:paraId="2300D261" w14:textId="204CB81E" w:rsidR="00786D81" w:rsidRPr="00644609" w:rsidRDefault="00526225" w:rsidP="00786D81">
      <w:pPr>
        <w:keepNext/>
        <w:pBdr>
          <w:bottom w:val="single" w:sz="12" w:space="1" w:color="auto"/>
        </w:pBdr>
        <w:rPr>
          <w:rFonts w:ascii="Arial Narrow" w:hAnsi="Arial Narrow"/>
          <w:b/>
          <w:sz w:val="36"/>
          <w:szCs w:val="36"/>
          <w:lang w:eastAsia="en-NZ"/>
        </w:rPr>
      </w:pPr>
      <w:r>
        <w:rPr>
          <w:rFonts w:ascii="Arial Narrow" w:hAnsi="Arial Narrow"/>
          <w:b/>
          <w:noProof/>
          <w:sz w:val="36"/>
          <w:szCs w:val="36"/>
          <w:lang w:eastAsia="en-NZ"/>
        </w:rPr>
        <w:lastRenderedPageBreak/>
        <w:t>Rock lobster (CRA 3, 4</w:t>
      </w:r>
      <w:r w:rsidR="00786D81">
        <w:rPr>
          <w:rFonts w:ascii="Arial Narrow" w:hAnsi="Arial Narrow"/>
          <w:b/>
          <w:noProof/>
          <w:sz w:val="36"/>
          <w:szCs w:val="36"/>
          <w:lang w:eastAsia="en-NZ"/>
        </w:rPr>
        <w:t xml:space="preserve"> and 8)</w:t>
      </w:r>
    </w:p>
    <w:p w14:paraId="719397A5" w14:textId="6714A548" w:rsidR="00786D81" w:rsidRDefault="00A11EED" w:rsidP="00786D81">
      <w:pPr>
        <w:pStyle w:val="TableMainTitle"/>
        <w:spacing w:before="120"/>
        <w:jc w:val="center"/>
        <w:rPr>
          <w:szCs w:val="24"/>
        </w:rPr>
      </w:pPr>
      <w:bookmarkStart w:id="22" w:name="_Toc421169849"/>
      <w:r w:rsidRPr="00A11EED">
        <w:rPr>
          <w:noProof/>
          <w:szCs w:val="24"/>
          <w:lang w:eastAsia="en-NZ"/>
        </w:rPr>
        <w:drawing>
          <wp:inline distT="0" distB="0" distL="0" distR="0" wp14:anchorId="2761F5D0" wp14:editId="0BADC7AB">
            <wp:extent cx="3105150" cy="4277344"/>
            <wp:effectExtent l="0" t="0" r="0" b="9525"/>
            <wp:docPr id="11" name="Picture 11" descr="C:\Users\hempels\Documents\Apr 2019 sustainability round\maps\CRA3_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pels\Documents\Apr 2019 sustainability round\maps\CRA3_4_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08" t="1235" r="5286" b="1587"/>
                    <a:stretch/>
                  </pic:blipFill>
                  <pic:spPr bwMode="auto">
                    <a:xfrm>
                      <a:off x="0" y="0"/>
                      <a:ext cx="3108833" cy="4282418"/>
                    </a:xfrm>
                    <a:prstGeom prst="rect">
                      <a:avLst/>
                    </a:prstGeom>
                    <a:noFill/>
                    <a:ln>
                      <a:noFill/>
                    </a:ln>
                    <a:extLst>
                      <a:ext uri="{53640926-AAD7-44D8-BBD7-CCE9431645EC}">
                        <a14:shadowObscured xmlns:a14="http://schemas.microsoft.com/office/drawing/2010/main"/>
                      </a:ext>
                    </a:extLst>
                  </pic:spPr>
                </pic:pic>
              </a:graphicData>
            </a:graphic>
          </wp:inline>
        </w:drawing>
      </w:r>
    </w:p>
    <w:p w14:paraId="462D8EED" w14:textId="35617463" w:rsidR="00786D81" w:rsidRDefault="00786D81" w:rsidP="00786D81">
      <w:pPr>
        <w:pStyle w:val="TableMainTitle"/>
        <w:spacing w:before="120"/>
        <w:rPr>
          <w:sz w:val="22"/>
          <w:szCs w:val="22"/>
        </w:rPr>
      </w:pPr>
      <w:r w:rsidRPr="006A5E9C">
        <w:rPr>
          <w:sz w:val="22"/>
          <w:szCs w:val="22"/>
        </w:rPr>
        <w:t xml:space="preserve">Figure </w:t>
      </w:r>
      <w:r w:rsidR="006A5E9C" w:rsidRPr="006A5E9C">
        <w:rPr>
          <w:sz w:val="22"/>
          <w:szCs w:val="22"/>
        </w:rPr>
        <w:t>1</w:t>
      </w:r>
      <w:r w:rsidRPr="006A5E9C">
        <w:rPr>
          <w:sz w:val="22"/>
          <w:szCs w:val="22"/>
        </w:rPr>
        <w:t xml:space="preserve">: </w:t>
      </w:r>
      <w:r w:rsidRPr="00000F60">
        <w:rPr>
          <w:sz w:val="22"/>
          <w:szCs w:val="22"/>
        </w:rPr>
        <w:t xml:space="preserve">Map of rock lobster Quota </w:t>
      </w:r>
      <w:r w:rsidRPr="0031641A">
        <w:rPr>
          <w:sz w:val="22"/>
          <w:szCs w:val="22"/>
        </w:rPr>
        <w:t>Management Areas</w:t>
      </w:r>
      <w:r w:rsidR="006A5E9C" w:rsidRPr="0031641A">
        <w:rPr>
          <w:sz w:val="22"/>
          <w:szCs w:val="22"/>
        </w:rPr>
        <w:t>,</w:t>
      </w:r>
      <w:r w:rsidRPr="0031641A">
        <w:rPr>
          <w:sz w:val="22"/>
          <w:szCs w:val="22"/>
        </w:rPr>
        <w:t xml:space="preserve"> showing stocks under review in blue</w:t>
      </w:r>
      <w:r w:rsidRPr="000E51AE">
        <w:rPr>
          <w:sz w:val="22"/>
          <w:szCs w:val="22"/>
        </w:rPr>
        <w:t>.</w:t>
      </w:r>
    </w:p>
    <w:p w14:paraId="64B33338" w14:textId="77777777" w:rsidR="00BF40AF" w:rsidRPr="00E1727C" w:rsidRDefault="00BF40AF" w:rsidP="00BF40AF">
      <w:pPr>
        <w:pStyle w:val="TableMainTitle"/>
        <w:rPr>
          <w:sz w:val="22"/>
          <w:szCs w:val="22"/>
        </w:rPr>
      </w:pPr>
    </w:p>
    <w:p w14:paraId="5CD0E8D9" w14:textId="77777777" w:rsidR="00786D81" w:rsidRPr="00CF25F0" w:rsidRDefault="00786D81" w:rsidP="0031641A">
      <w:pPr>
        <w:pStyle w:val="Heading1"/>
        <w:numPr>
          <w:ilvl w:val="0"/>
          <w:numId w:val="4"/>
        </w:numPr>
        <w:ind w:left="567" w:hanging="567"/>
      </w:pPr>
      <w:bookmarkStart w:id="23" w:name="_Toc500855015"/>
      <w:bookmarkStart w:id="24" w:name="_Toc501013870"/>
      <w:bookmarkStart w:id="25" w:name="_Toc501526365"/>
      <w:bookmarkStart w:id="26" w:name="_Toc501698613"/>
      <w:bookmarkStart w:id="27" w:name="_Toc503362769"/>
      <w:bookmarkStart w:id="28" w:name="_Toc531692785"/>
      <w:bookmarkStart w:id="29" w:name="_Toc532471878"/>
      <w:bookmarkEnd w:id="22"/>
      <w:r>
        <w:t>What is proposed?</w:t>
      </w:r>
      <w:bookmarkEnd w:id="23"/>
      <w:bookmarkEnd w:id="24"/>
      <w:bookmarkEnd w:id="25"/>
      <w:bookmarkEnd w:id="26"/>
      <w:bookmarkEnd w:id="27"/>
      <w:bookmarkEnd w:id="28"/>
      <w:bookmarkEnd w:id="29"/>
    </w:p>
    <w:p w14:paraId="5581A300" w14:textId="598B6651" w:rsidR="00786D81" w:rsidRPr="00857D97" w:rsidRDefault="00786D81" w:rsidP="005077A8">
      <w:pPr>
        <w:pStyle w:val="ListParagraph"/>
        <w:numPr>
          <w:ilvl w:val="0"/>
          <w:numId w:val="26"/>
        </w:numPr>
        <w:spacing w:after="0" w:line="240" w:lineRule="auto"/>
        <w:ind w:left="567" w:hanging="567"/>
        <w:jc w:val="left"/>
        <w:rPr>
          <w:rFonts w:ascii="Arial" w:hAnsi="Arial" w:cs="Arial"/>
          <w:szCs w:val="20"/>
        </w:rPr>
      </w:pPr>
      <w:bookmarkStart w:id="30" w:name="_Toc421169850"/>
      <w:bookmarkStart w:id="31" w:name="_Toc436817013"/>
      <w:bookmarkStart w:id="32" w:name="_Toc436817162"/>
      <w:r w:rsidRPr="00857D97">
        <w:rPr>
          <w:rFonts w:ascii="Arial" w:hAnsi="Arial" w:cs="Arial"/>
          <w:szCs w:val="20"/>
        </w:rPr>
        <w:t>It is proposed that the Total Allowable Catch (TAC), allowances and the Total Allowable Commercial Catch (TACC) are reviewed for rock lobster (</w:t>
      </w:r>
      <w:r w:rsidRPr="00857D97">
        <w:rPr>
          <w:rFonts w:ascii="Arial" w:hAnsi="Arial" w:cs="Arial"/>
          <w:i/>
          <w:szCs w:val="20"/>
        </w:rPr>
        <w:t>Jasus edwardsii</w:t>
      </w:r>
      <w:r w:rsidRPr="00857D97">
        <w:rPr>
          <w:rFonts w:ascii="Arial" w:hAnsi="Arial" w:cs="Arial"/>
          <w:szCs w:val="20"/>
        </w:rPr>
        <w:t xml:space="preserve">) </w:t>
      </w:r>
      <w:r w:rsidR="00526225" w:rsidRPr="00857D97">
        <w:rPr>
          <w:rFonts w:ascii="Arial" w:hAnsi="Arial" w:cs="Arial"/>
          <w:szCs w:val="20"/>
        </w:rPr>
        <w:t xml:space="preserve">in Quota Management Areas CRA 3, 4 </w:t>
      </w:r>
      <w:r w:rsidRPr="00857D97">
        <w:rPr>
          <w:rFonts w:ascii="Arial" w:hAnsi="Arial" w:cs="Arial"/>
          <w:szCs w:val="20"/>
        </w:rPr>
        <w:t xml:space="preserve">and 8 (Figure </w:t>
      </w:r>
      <w:r w:rsidR="00526225" w:rsidRPr="00857D97">
        <w:rPr>
          <w:rFonts w:ascii="Arial" w:hAnsi="Arial" w:cs="Arial"/>
          <w:szCs w:val="20"/>
        </w:rPr>
        <w:t xml:space="preserve">1). Fisheries New Zealand </w:t>
      </w:r>
      <w:r w:rsidR="00DB2902">
        <w:rPr>
          <w:rFonts w:ascii="Arial" w:hAnsi="Arial" w:cs="Arial"/>
          <w:szCs w:val="20"/>
        </w:rPr>
        <w:t xml:space="preserve">and the National Rock Lobster Management Group (an advisor on rock lobster matters) </w:t>
      </w:r>
      <w:r w:rsidRPr="00857D97">
        <w:rPr>
          <w:rFonts w:ascii="Arial" w:hAnsi="Arial" w:cs="Arial"/>
          <w:szCs w:val="20"/>
        </w:rPr>
        <w:t xml:space="preserve">welcomes tangata whenua and stakeholder </w:t>
      </w:r>
      <w:r w:rsidR="00377E69">
        <w:rPr>
          <w:rFonts w:ascii="Arial" w:hAnsi="Arial" w:cs="Arial"/>
          <w:szCs w:val="20"/>
        </w:rPr>
        <w:t>feedback</w:t>
      </w:r>
      <w:r w:rsidRPr="00857D97">
        <w:rPr>
          <w:rFonts w:ascii="Arial" w:hAnsi="Arial" w:cs="Arial"/>
          <w:szCs w:val="20"/>
        </w:rPr>
        <w:t xml:space="preserve"> </w:t>
      </w:r>
      <w:bookmarkEnd w:id="30"/>
      <w:bookmarkEnd w:id="31"/>
      <w:bookmarkEnd w:id="32"/>
      <w:r w:rsidRPr="00857D97">
        <w:rPr>
          <w:rFonts w:ascii="Arial" w:hAnsi="Arial" w:cs="Arial"/>
          <w:szCs w:val="20"/>
        </w:rPr>
        <w:t>to inform a review of rock lobster sustainability measures for 1 April 201</w:t>
      </w:r>
      <w:r w:rsidR="00377E69">
        <w:rPr>
          <w:rFonts w:ascii="Arial" w:hAnsi="Arial" w:cs="Arial"/>
          <w:szCs w:val="20"/>
        </w:rPr>
        <w:t>9</w:t>
      </w:r>
      <w:r w:rsidRPr="00857D97">
        <w:rPr>
          <w:rFonts w:ascii="Arial" w:hAnsi="Arial" w:cs="Arial"/>
          <w:szCs w:val="20"/>
        </w:rPr>
        <w:t>.</w:t>
      </w:r>
    </w:p>
    <w:p w14:paraId="69570C7E" w14:textId="77777777" w:rsidR="00786D81" w:rsidRPr="00857D97" w:rsidRDefault="00786D81" w:rsidP="00857D97">
      <w:pPr>
        <w:pStyle w:val="ListParagraph"/>
        <w:spacing w:after="0" w:line="240" w:lineRule="auto"/>
        <w:ind w:left="567" w:hanging="567"/>
        <w:rPr>
          <w:rFonts w:ascii="Arial" w:hAnsi="Arial" w:cs="Arial"/>
          <w:szCs w:val="20"/>
        </w:rPr>
      </w:pPr>
    </w:p>
    <w:p w14:paraId="4B872147" w14:textId="53E11C46" w:rsidR="00786D81" w:rsidRPr="00857D97" w:rsidRDefault="00786D81" w:rsidP="005077A8">
      <w:pPr>
        <w:pStyle w:val="ListParagraph"/>
        <w:numPr>
          <w:ilvl w:val="0"/>
          <w:numId w:val="26"/>
        </w:numPr>
        <w:spacing w:after="0" w:line="240" w:lineRule="auto"/>
        <w:ind w:left="567" w:hanging="567"/>
        <w:jc w:val="left"/>
        <w:rPr>
          <w:rFonts w:ascii="Arial" w:hAnsi="Arial" w:cs="Arial"/>
          <w:szCs w:val="20"/>
        </w:rPr>
      </w:pPr>
      <w:r w:rsidRPr="00857D97">
        <w:rPr>
          <w:rFonts w:ascii="Arial" w:hAnsi="Arial" w:cs="Arial"/>
          <w:szCs w:val="20"/>
        </w:rPr>
        <w:t xml:space="preserve">The TAC, allowance and TACC proposals presented in this paper are based on the results from the operation of management procedures </w:t>
      </w:r>
      <w:r w:rsidR="00613F67">
        <w:rPr>
          <w:rFonts w:ascii="Arial" w:hAnsi="Arial" w:cs="Arial"/>
          <w:szCs w:val="20"/>
        </w:rPr>
        <w:t>(or</w:t>
      </w:r>
      <w:r w:rsidRPr="00857D97">
        <w:rPr>
          <w:rFonts w:ascii="Arial" w:hAnsi="Arial" w:cs="Arial"/>
          <w:szCs w:val="20"/>
        </w:rPr>
        <w:t xml:space="preserve"> </w:t>
      </w:r>
      <w:r w:rsidR="00613F67">
        <w:rPr>
          <w:rFonts w:ascii="Arial" w:hAnsi="Arial" w:cs="Arial"/>
          <w:szCs w:val="20"/>
        </w:rPr>
        <w:t>‘</w:t>
      </w:r>
      <w:r w:rsidRPr="00857D97">
        <w:rPr>
          <w:rFonts w:ascii="Arial" w:hAnsi="Arial" w:cs="Arial"/>
          <w:szCs w:val="20"/>
        </w:rPr>
        <w:t>decision rules</w:t>
      </w:r>
      <w:r w:rsidR="00613F67">
        <w:rPr>
          <w:rFonts w:ascii="Arial" w:hAnsi="Arial" w:cs="Arial"/>
          <w:szCs w:val="20"/>
        </w:rPr>
        <w:t>’)</w:t>
      </w:r>
      <w:r w:rsidRPr="00857D97">
        <w:rPr>
          <w:rFonts w:ascii="Arial" w:hAnsi="Arial" w:cs="Arial"/>
          <w:szCs w:val="20"/>
        </w:rPr>
        <w:t xml:space="preserve">. </w:t>
      </w:r>
      <w:r w:rsidR="00526225" w:rsidRPr="00857D97">
        <w:rPr>
          <w:rFonts w:ascii="Arial" w:hAnsi="Arial" w:cs="Arial"/>
          <w:szCs w:val="20"/>
        </w:rPr>
        <w:t xml:space="preserve">Fisheries New Zealand </w:t>
      </w:r>
      <w:r w:rsidRPr="00857D97">
        <w:rPr>
          <w:rFonts w:ascii="Arial" w:hAnsi="Arial" w:cs="Arial"/>
          <w:szCs w:val="20"/>
        </w:rPr>
        <w:t xml:space="preserve">and the </w:t>
      </w:r>
      <w:r w:rsidR="00526225" w:rsidRPr="00857D97">
        <w:rPr>
          <w:rFonts w:ascii="Arial" w:hAnsi="Arial" w:cs="Arial"/>
          <w:szCs w:val="20"/>
        </w:rPr>
        <w:t xml:space="preserve">National Rock Lobster Management Group </w:t>
      </w:r>
      <w:r w:rsidRPr="00857D97">
        <w:rPr>
          <w:rFonts w:ascii="Arial" w:hAnsi="Arial" w:cs="Arial"/>
          <w:szCs w:val="20"/>
        </w:rPr>
        <w:t>considered this information, and the Minister of Fisheries (the Minister’s) statutory obligations, in developing the options for consultation.</w:t>
      </w:r>
    </w:p>
    <w:p w14:paraId="1A148307" w14:textId="77777777" w:rsidR="00786D81" w:rsidRPr="00857D97" w:rsidRDefault="00786D81" w:rsidP="00857D97">
      <w:pPr>
        <w:ind w:left="567" w:hanging="567"/>
        <w:rPr>
          <w:rFonts w:ascii="Arial" w:hAnsi="Arial" w:cs="Arial"/>
          <w:sz w:val="22"/>
        </w:rPr>
      </w:pPr>
    </w:p>
    <w:p w14:paraId="754B4779" w14:textId="569CA99A" w:rsidR="00786D81" w:rsidRPr="00857D97" w:rsidRDefault="00786D81" w:rsidP="005077A8">
      <w:pPr>
        <w:pStyle w:val="ListParagraph"/>
        <w:numPr>
          <w:ilvl w:val="0"/>
          <w:numId w:val="26"/>
        </w:numPr>
        <w:spacing w:after="0" w:line="240" w:lineRule="auto"/>
        <w:ind w:left="567" w:hanging="567"/>
        <w:jc w:val="left"/>
        <w:rPr>
          <w:rFonts w:ascii="Times New Roman" w:hAnsi="Times New Roman"/>
          <w:sz w:val="20"/>
        </w:rPr>
      </w:pPr>
      <w:r w:rsidRPr="00857D97">
        <w:rPr>
          <w:rFonts w:ascii="Arial" w:hAnsi="Arial" w:cs="Arial"/>
          <w:szCs w:val="20"/>
        </w:rPr>
        <w:t>Management procedures are in place for most rock lobster stocks in New Zealand.</w:t>
      </w:r>
      <w:r w:rsidRPr="00857D97" w:rsidDel="00707387">
        <w:rPr>
          <w:rFonts w:ascii="Arial" w:hAnsi="Arial" w:cs="Arial"/>
          <w:szCs w:val="20"/>
        </w:rPr>
        <w:t xml:space="preserve"> </w:t>
      </w:r>
      <w:r w:rsidRPr="00857D97">
        <w:rPr>
          <w:rFonts w:ascii="Arial" w:hAnsi="Arial" w:cs="Arial"/>
          <w:szCs w:val="20"/>
        </w:rPr>
        <w:t>Each management procedure is operated every year to guide the setting of catch limits in a way that is consistent with the Minister’s statutory obligations for managing stocks within the Quota Management System. Management procedures are designed to move or maintain stock abundance at or above agreed reference levels, while recognising a range of customary Māori, recreational, and commercial values.</w:t>
      </w:r>
    </w:p>
    <w:p w14:paraId="4D098EF1" w14:textId="77777777" w:rsidR="00377E69" w:rsidRDefault="00377E69">
      <w:pPr>
        <w:spacing w:after="160" w:line="259" w:lineRule="auto"/>
        <w:contextualSpacing w:val="0"/>
        <w:rPr>
          <w:rFonts w:ascii="Arial" w:hAnsi="Arial" w:cs="Arial"/>
          <w:sz w:val="22"/>
        </w:rPr>
      </w:pPr>
      <w:r>
        <w:rPr>
          <w:rFonts w:ascii="Arial" w:hAnsi="Arial" w:cs="Arial"/>
        </w:rPr>
        <w:br w:type="page"/>
      </w:r>
    </w:p>
    <w:p w14:paraId="6401D448" w14:textId="0B0A3181" w:rsidR="00786D81" w:rsidRPr="00857D97" w:rsidRDefault="00786D81" w:rsidP="00DB2902">
      <w:pPr>
        <w:pStyle w:val="ListParagraph"/>
        <w:numPr>
          <w:ilvl w:val="0"/>
          <w:numId w:val="26"/>
        </w:numPr>
        <w:spacing w:after="60" w:line="240" w:lineRule="auto"/>
        <w:ind w:left="567" w:hanging="567"/>
        <w:contextualSpacing w:val="0"/>
        <w:jc w:val="left"/>
        <w:rPr>
          <w:rFonts w:ascii="Arial" w:hAnsi="Arial" w:cs="Arial"/>
          <w:szCs w:val="20"/>
        </w:rPr>
      </w:pPr>
      <w:r w:rsidRPr="00857D97">
        <w:rPr>
          <w:rFonts w:ascii="Arial" w:hAnsi="Arial" w:cs="Arial"/>
          <w:szCs w:val="20"/>
        </w:rPr>
        <w:lastRenderedPageBreak/>
        <w:t xml:space="preserve">Table 1 provides a summary of the options proposed for rock lobster for the </w:t>
      </w:r>
      <w:r w:rsidR="00DB2902">
        <w:rPr>
          <w:rFonts w:ascii="Arial" w:hAnsi="Arial" w:cs="Arial"/>
          <w:szCs w:val="20"/>
        </w:rPr>
        <w:t xml:space="preserve">fishing year beginning on 1 </w:t>
      </w:r>
      <w:r w:rsidRPr="00857D97">
        <w:rPr>
          <w:rFonts w:ascii="Arial" w:hAnsi="Arial" w:cs="Arial"/>
          <w:szCs w:val="20"/>
        </w:rPr>
        <w:t>April 201</w:t>
      </w:r>
      <w:r w:rsidR="00377E69">
        <w:rPr>
          <w:rFonts w:ascii="Arial" w:hAnsi="Arial" w:cs="Arial"/>
          <w:szCs w:val="20"/>
        </w:rPr>
        <w:t>9</w:t>
      </w:r>
      <w:r w:rsidR="00DB2902">
        <w:rPr>
          <w:rFonts w:ascii="Arial" w:hAnsi="Arial" w:cs="Arial"/>
          <w:szCs w:val="20"/>
        </w:rPr>
        <w:t xml:space="preserve"> fishing</w:t>
      </w:r>
      <w:r w:rsidRPr="00857D97">
        <w:rPr>
          <w:rFonts w:ascii="Arial" w:hAnsi="Arial" w:cs="Arial"/>
          <w:szCs w:val="20"/>
        </w:rPr>
        <w:t>. These include:</w:t>
      </w:r>
    </w:p>
    <w:p w14:paraId="7A28D05B" w14:textId="241FCB8F" w:rsidR="002B23F2" w:rsidRPr="00857D97" w:rsidRDefault="00786D81" w:rsidP="00DB2902">
      <w:pPr>
        <w:pStyle w:val="ListParagraph"/>
        <w:numPr>
          <w:ilvl w:val="0"/>
          <w:numId w:val="5"/>
        </w:numPr>
        <w:spacing w:after="60" w:line="240" w:lineRule="auto"/>
        <w:ind w:left="1134" w:hanging="567"/>
        <w:contextualSpacing w:val="0"/>
        <w:jc w:val="left"/>
        <w:rPr>
          <w:rFonts w:ascii="Arial" w:hAnsi="Arial" w:cs="Arial"/>
          <w:szCs w:val="20"/>
        </w:rPr>
      </w:pPr>
      <w:r w:rsidRPr="00857D97">
        <w:rPr>
          <w:rFonts w:ascii="Arial" w:hAnsi="Arial" w:cs="Arial"/>
          <w:szCs w:val="20"/>
        </w:rPr>
        <w:t>A TAC and TACC decrease fo</w:t>
      </w:r>
      <w:r w:rsidR="002B23F2" w:rsidRPr="00857D97">
        <w:rPr>
          <w:rFonts w:ascii="Arial" w:hAnsi="Arial" w:cs="Arial"/>
          <w:szCs w:val="20"/>
        </w:rPr>
        <w:t>r the CRA 3 (G</w:t>
      </w:r>
      <w:r w:rsidR="003F3682" w:rsidRPr="00857D97">
        <w:rPr>
          <w:rFonts w:ascii="Arial" w:hAnsi="Arial" w:cs="Arial"/>
          <w:szCs w:val="20"/>
        </w:rPr>
        <w:t>isborne</w:t>
      </w:r>
      <w:r w:rsidR="002B23F2" w:rsidRPr="00857D97">
        <w:rPr>
          <w:rFonts w:ascii="Arial" w:hAnsi="Arial" w:cs="Arial"/>
          <w:szCs w:val="20"/>
        </w:rPr>
        <w:t>) fishery</w:t>
      </w:r>
      <w:r w:rsidR="00377E69">
        <w:rPr>
          <w:rFonts w:ascii="Arial" w:hAnsi="Arial" w:cs="Arial"/>
          <w:szCs w:val="20"/>
        </w:rPr>
        <w:t xml:space="preserve"> to ensure </w:t>
      </w:r>
      <w:r w:rsidR="00F351FD">
        <w:rPr>
          <w:rFonts w:ascii="Arial" w:hAnsi="Arial" w:cs="Arial"/>
          <w:szCs w:val="20"/>
        </w:rPr>
        <w:t>stock ab</w:t>
      </w:r>
      <w:r w:rsidR="00DB2902">
        <w:rPr>
          <w:rFonts w:ascii="Arial" w:hAnsi="Arial" w:cs="Arial"/>
          <w:szCs w:val="20"/>
        </w:rPr>
        <w:t xml:space="preserve">undance is maintained above </w:t>
      </w:r>
      <w:r w:rsidR="00F351FD">
        <w:rPr>
          <w:rFonts w:ascii="Arial" w:hAnsi="Arial" w:cs="Arial"/>
          <w:szCs w:val="20"/>
        </w:rPr>
        <w:t>agreed reference level</w:t>
      </w:r>
      <w:r w:rsidR="001755D7">
        <w:rPr>
          <w:rFonts w:ascii="Arial" w:hAnsi="Arial" w:cs="Arial"/>
          <w:szCs w:val="20"/>
        </w:rPr>
        <w:t>s</w:t>
      </w:r>
      <w:r w:rsidR="00A5324E">
        <w:rPr>
          <w:rFonts w:ascii="Arial" w:hAnsi="Arial" w:cs="Arial"/>
          <w:szCs w:val="20"/>
        </w:rPr>
        <w:t>, with no changes to the other allowances</w:t>
      </w:r>
      <w:r w:rsidR="001755D7">
        <w:rPr>
          <w:rFonts w:ascii="Arial" w:hAnsi="Arial" w:cs="Arial"/>
          <w:szCs w:val="20"/>
        </w:rPr>
        <w:t xml:space="preserve"> at this time (this will be considered as part of the proposed stock assessment in 2019)</w:t>
      </w:r>
      <w:r w:rsidR="002B23F2" w:rsidRPr="00857D97">
        <w:rPr>
          <w:rFonts w:ascii="Arial" w:hAnsi="Arial" w:cs="Arial"/>
          <w:szCs w:val="20"/>
        </w:rPr>
        <w:t>;</w:t>
      </w:r>
    </w:p>
    <w:p w14:paraId="4C2B05EC" w14:textId="328A4B87" w:rsidR="00377E69" w:rsidRDefault="00786D81" w:rsidP="00DB2902">
      <w:pPr>
        <w:pStyle w:val="ListParagraph"/>
        <w:numPr>
          <w:ilvl w:val="0"/>
          <w:numId w:val="5"/>
        </w:numPr>
        <w:spacing w:after="60" w:line="240" w:lineRule="auto"/>
        <w:ind w:left="1134" w:hanging="567"/>
        <w:contextualSpacing w:val="0"/>
        <w:jc w:val="left"/>
        <w:rPr>
          <w:rFonts w:ascii="Arial" w:hAnsi="Arial" w:cs="Arial"/>
          <w:szCs w:val="20"/>
        </w:rPr>
      </w:pPr>
      <w:r w:rsidRPr="00857D97">
        <w:rPr>
          <w:rFonts w:ascii="Arial" w:hAnsi="Arial" w:cs="Arial"/>
          <w:szCs w:val="20"/>
        </w:rPr>
        <w:t>TAC and TACC increases for the CRA 4 (Hawke’s Bay</w:t>
      </w:r>
      <w:r w:rsidR="00732650">
        <w:rPr>
          <w:rFonts w:ascii="Arial" w:hAnsi="Arial" w:cs="Arial"/>
          <w:szCs w:val="20"/>
        </w:rPr>
        <w:t>/Wellington</w:t>
      </w:r>
      <w:r w:rsidRPr="00857D97">
        <w:rPr>
          <w:rFonts w:ascii="Arial" w:hAnsi="Arial" w:cs="Arial"/>
          <w:szCs w:val="20"/>
        </w:rPr>
        <w:t>) and CRA 8 (Southern) fisheries</w:t>
      </w:r>
      <w:r w:rsidR="00377E69">
        <w:rPr>
          <w:rFonts w:ascii="Arial" w:hAnsi="Arial" w:cs="Arial"/>
          <w:szCs w:val="20"/>
        </w:rPr>
        <w:t xml:space="preserve"> to provide increased utilisation opportunities; and</w:t>
      </w:r>
    </w:p>
    <w:p w14:paraId="02B7933D" w14:textId="42A42F40" w:rsidR="00786D81" w:rsidRPr="00857D97" w:rsidRDefault="004474BD" w:rsidP="00857D97">
      <w:pPr>
        <w:pStyle w:val="ListParagraph"/>
        <w:numPr>
          <w:ilvl w:val="0"/>
          <w:numId w:val="5"/>
        </w:numPr>
        <w:spacing w:after="0" w:line="240" w:lineRule="auto"/>
        <w:ind w:left="1134" w:hanging="567"/>
        <w:jc w:val="left"/>
        <w:rPr>
          <w:rFonts w:ascii="Arial" w:hAnsi="Arial" w:cs="Arial"/>
          <w:szCs w:val="20"/>
        </w:rPr>
      </w:pPr>
      <w:r>
        <w:rPr>
          <w:rFonts w:ascii="Arial" w:hAnsi="Arial" w:cs="Arial"/>
          <w:szCs w:val="20"/>
        </w:rPr>
        <w:t>A decrease</w:t>
      </w:r>
      <w:r w:rsidR="00D42E7A" w:rsidRPr="00857D97">
        <w:rPr>
          <w:rFonts w:ascii="Arial" w:hAnsi="Arial" w:cs="Arial"/>
          <w:szCs w:val="20"/>
        </w:rPr>
        <w:t xml:space="preserve"> t</w:t>
      </w:r>
      <w:r>
        <w:rPr>
          <w:rFonts w:ascii="Arial" w:hAnsi="Arial" w:cs="Arial"/>
          <w:szCs w:val="20"/>
        </w:rPr>
        <w:t xml:space="preserve">o the other mortality allowance for CRA 4 </w:t>
      </w:r>
      <w:r w:rsidR="00A64F59">
        <w:rPr>
          <w:rFonts w:ascii="Arial" w:hAnsi="Arial" w:cs="Arial"/>
          <w:szCs w:val="20"/>
        </w:rPr>
        <w:t xml:space="preserve">to reflect more accurately </w:t>
      </w:r>
      <w:r>
        <w:rPr>
          <w:rFonts w:ascii="Arial" w:hAnsi="Arial" w:cs="Arial"/>
          <w:szCs w:val="20"/>
        </w:rPr>
        <w:t>the estimates</w:t>
      </w:r>
      <w:r w:rsidR="0081648C">
        <w:rPr>
          <w:rFonts w:ascii="Arial" w:hAnsi="Arial" w:cs="Arial"/>
          <w:szCs w:val="20"/>
        </w:rPr>
        <w:t xml:space="preserve"> </w:t>
      </w:r>
      <w:r w:rsidR="00A64F59">
        <w:rPr>
          <w:rFonts w:ascii="Arial" w:hAnsi="Arial" w:cs="Arial"/>
          <w:szCs w:val="20"/>
        </w:rPr>
        <w:t>used in the most recent CR</w:t>
      </w:r>
      <w:r>
        <w:rPr>
          <w:rFonts w:ascii="Arial" w:hAnsi="Arial" w:cs="Arial"/>
          <w:szCs w:val="20"/>
        </w:rPr>
        <w:t>A 4 stock assessment</w:t>
      </w:r>
      <w:r w:rsidR="00786D81" w:rsidRPr="00857D97">
        <w:rPr>
          <w:rFonts w:ascii="Arial" w:hAnsi="Arial" w:cs="Arial"/>
          <w:szCs w:val="20"/>
        </w:rPr>
        <w:t>.</w:t>
      </w:r>
    </w:p>
    <w:p w14:paraId="57984BF9" w14:textId="77777777" w:rsidR="00786D81" w:rsidRPr="008C730F" w:rsidRDefault="00786D81" w:rsidP="00786D81">
      <w:pPr>
        <w:rPr>
          <w:rFonts w:ascii="Arial" w:hAnsi="Arial" w:cs="Arial"/>
          <w:sz w:val="22"/>
          <w:szCs w:val="22"/>
        </w:rPr>
      </w:pPr>
    </w:p>
    <w:p w14:paraId="08A76DDF" w14:textId="57E83127" w:rsidR="00786D81" w:rsidRPr="00CA2F99" w:rsidRDefault="00786D81" w:rsidP="00786D81">
      <w:pPr>
        <w:pStyle w:val="TableMainTitle"/>
        <w:keepNext/>
        <w:spacing w:after="120"/>
        <w:rPr>
          <w:sz w:val="22"/>
          <w:szCs w:val="22"/>
        </w:rPr>
      </w:pPr>
      <w:r w:rsidRPr="00CA2F99">
        <w:rPr>
          <w:sz w:val="22"/>
          <w:szCs w:val="22"/>
        </w:rPr>
        <w:t>Table 1: Proposed management options (in tonnes) for</w:t>
      </w:r>
      <w:r w:rsidR="002B23F2" w:rsidRPr="00CA2F99">
        <w:rPr>
          <w:sz w:val="22"/>
          <w:szCs w:val="22"/>
        </w:rPr>
        <w:t xml:space="preserve"> CRA 3, 4</w:t>
      </w:r>
      <w:r w:rsidRPr="00CA2F99">
        <w:rPr>
          <w:sz w:val="22"/>
          <w:szCs w:val="22"/>
        </w:rPr>
        <w:t xml:space="preserve"> and 8 from </w:t>
      </w:r>
      <w:r w:rsidR="002B23F2" w:rsidRPr="00CA2F99">
        <w:rPr>
          <w:sz w:val="22"/>
          <w:szCs w:val="22"/>
        </w:rPr>
        <w:t>1 April 2019</w:t>
      </w:r>
      <w:r w:rsidRPr="00CA2F99">
        <w:rPr>
          <w:sz w:val="22"/>
          <w:szCs w:val="22"/>
        </w:rPr>
        <w:t>.</w:t>
      </w:r>
    </w:p>
    <w:tbl>
      <w:tblPr>
        <w:tblpPr w:leftFromText="180" w:rightFromText="180" w:vertAnchor="text" w:horzAnchor="margin" w:tblpX="-142" w:tblpY="96"/>
        <w:tblW w:w="54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268"/>
        <w:gridCol w:w="1558"/>
        <w:gridCol w:w="1561"/>
        <w:gridCol w:w="1135"/>
        <w:gridCol w:w="1275"/>
        <w:gridCol w:w="1275"/>
      </w:tblGrid>
      <w:tr w:rsidR="00CD0541" w:rsidRPr="005A515B" w14:paraId="629477F0" w14:textId="77777777" w:rsidTr="00CD0541">
        <w:trPr>
          <w:trHeight w:val="274"/>
        </w:trPr>
        <w:tc>
          <w:tcPr>
            <w:tcW w:w="362" w:type="pct"/>
            <w:vMerge w:val="restart"/>
            <w:tcBorders>
              <w:left w:val="nil"/>
              <w:right w:val="nil"/>
            </w:tcBorders>
            <w:vAlign w:val="center"/>
          </w:tcPr>
          <w:p w14:paraId="1A2EC966" w14:textId="77777777" w:rsidR="00786D81" w:rsidRPr="005A515B" w:rsidRDefault="00786D81" w:rsidP="0031641A">
            <w:pPr>
              <w:spacing w:before="40" w:after="40"/>
              <w:contextualSpacing w:val="0"/>
              <w:jc w:val="center"/>
              <w:rPr>
                <w:rFonts w:ascii="Arial Narrow" w:hAnsi="Arial Narrow"/>
                <w:b/>
                <w:sz w:val="20"/>
              </w:rPr>
            </w:pPr>
            <w:r>
              <w:rPr>
                <w:rFonts w:ascii="Arial Narrow" w:hAnsi="Arial Narrow"/>
                <w:b/>
                <w:sz w:val="20"/>
              </w:rPr>
              <w:t>Stock</w:t>
            </w:r>
          </w:p>
        </w:tc>
        <w:tc>
          <w:tcPr>
            <w:tcW w:w="1159" w:type="pct"/>
            <w:vMerge w:val="restart"/>
            <w:tcBorders>
              <w:left w:val="nil"/>
              <w:right w:val="nil"/>
            </w:tcBorders>
            <w:vAlign w:val="center"/>
          </w:tcPr>
          <w:p w14:paraId="0FF1092D" w14:textId="77777777" w:rsidR="00786D81" w:rsidRPr="005A515B" w:rsidRDefault="00786D81" w:rsidP="0031641A">
            <w:pPr>
              <w:spacing w:before="40" w:after="40"/>
              <w:contextualSpacing w:val="0"/>
              <w:jc w:val="center"/>
              <w:rPr>
                <w:rFonts w:ascii="Arial Narrow" w:hAnsi="Arial Narrow"/>
                <w:b/>
                <w:sz w:val="20"/>
              </w:rPr>
            </w:pPr>
            <w:r w:rsidRPr="005A515B">
              <w:rPr>
                <w:rFonts w:ascii="Arial Narrow" w:hAnsi="Arial Narrow"/>
                <w:b/>
                <w:sz w:val="20"/>
              </w:rPr>
              <w:t>Option</w:t>
            </w:r>
          </w:p>
        </w:tc>
        <w:tc>
          <w:tcPr>
            <w:tcW w:w="1594" w:type="pct"/>
            <w:gridSpan w:val="2"/>
            <w:tcBorders>
              <w:left w:val="nil"/>
              <w:bottom w:val="nil"/>
              <w:right w:val="nil"/>
            </w:tcBorders>
            <w:vAlign w:val="center"/>
          </w:tcPr>
          <w:p w14:paraId="2CF9C2E3" w14:textId="77777777" w:rsidR="00786D81" w:rsidRPr="005A515B" w:rsidRDefault="00786D81" w:rsidP="005077A8">
            <w:pPr>
              <w:spacing w:before="40" w:after="40"/>
              <w:contextualSpacing w:val="0"/>
              <w:jc w:val="center"/>
              <w:rPr>
                <w:rFonts w:ascii="Arial Narrow" w:hAnsi="Arial Narrow"/>
                <w:b/>
                <w:sz w:val="20"/>
              </w:rPr>
            </w:pPr>
          </w:p>
        </w:tc>
        <w:tc>
          <w:tcPr>
            <w:tcW w:w="1884" w:type="pct"/>
            <w:gridSpan w:val="3"/>
            <w:tcBorders>
              <w:left w:val="nil"/>
              <w:bottom w:val="single" w:sz="4" w:space="0" w:color="auto"/>
              <w:right w:val="nil"/>
            </w:tcBorders>
            <w:vAlign w:val="center"/>
          </w:tcPr>
          <w:p w14:paraId="04B65982" w14:textId="77777777" w:rsidR="00786D81" w:rsidRPr="005A515B" w:rsidRDefault="00786D81" w:rsidP="005077A8">
            <w:pPr>
              <w:spacing w:before="40" w:after="40"/>
              <w:contextualSpacing w:val="0"/>
              <w:jc w:val="center"/>
              <w:rPr>
                <w:rFonts w:ascii="Arial Narrow" w:hAnsi="Arial Narrow"/>
                <w:b/>
                <w:sz w:val="20"/>
              </w:rPr>
            </w:pPr>
            <w:r>
              <w:rPr>
                <w:rFonts w:ascii="Arial Narrow" w:hAnsi="Arial Narrow"/>
                <w:b/>
                <w:sz w:val="20"/>
              </w:rPr>
              <w:t>Allowances</w:t>
            </w:r>
          </w:p>
        </w:tc>
      </w:tr>
      <w:tr w:rsidR="00AB5AC9" w:rsidRPr="005A515B" w14:paraId="4F730B43" w14:textId="77777777" w:rsidTr="00CD0541">
        <w:trPr>
          <w:trHeight w:val="20"/>
        </w:trPr>
        <w:tc>
          <w:tcPr>
            <w:tcW w:w="362" w:type="pct"/>
            <w:vMerge/>
            <w:tcBorders>
              <w:left w:val="nil"/>
              <w:bottom w:val="single" w:sz="4" w:space="0" w:color="auto"/>
              <w:right w:val="nil"/>
            </w:tcBorders>
            <w:vAlign w:val="center"/>
          </w:tcPr>
          <w:p w14:paraId="74CA165D" w14:textId="77777777" w:rsidR="00786D81" w:rsidRPr="005A515B" w:rsidRDefault="00786D81" w:rsidP="005077A8">
            <w:pPr>
              <w:spacing w:before="40" w:after="40"/>
              <w:contextualSpacing w:val="0"/>
              <w:jc w:val="center"/>
              <w:rPr>
                <w:rFonts w:ascii="Arial Narrow" w:hAnsi="Arial Narrow"/>
                <w:b/>
                <w:sz w:val="20"/>
              </w:rPr>
            </w:pPr>
          </w:p>
        </w:tc>
        <w:tc>
          <w:tcPr>
            <w:tcW w:w="1159" w:type="pct"/>
            <w:vMerge/>
            <w:tcBorders>
              <w:left w:val="nil"/>
              <w:bottom w:val="single" w:sz="4" w:space="0" w:color="auto"/>
              <w:right w:val="nil"/>
            </w:tcBorders>
            <w:vAlign w:val="center"/>
          </w:tcPr>
          <w:p w14:paraId="07C8E85F" w14:textId="77777777" w:rsidR="00786D81" w:rsidRPr="005A515B" w:rsidRDefault="00786D81" w:rsidP="005077A8">
            <w:pPr>
              <w:spacing w:before="40" w:after="40"/>
              <w:contextualSpacing w:val="0"/>
              <w:jc w:val="center"/>
              <w:rPr>
                <w:rFonts w:ascii="Arial Narrow" w:hAnsi="Arial Narrow"/>
                <w:b/>
                <w:sz w:val="20"/>
              </w:rPr>
            </w:pPr>
          </w:p>
        </w:tc>
        <w:tc>
          <w:tcPr>
            <w:tcW w:w="796" w:type="pct"/>
            <w:tcBorders>
              <w:top w:val="nil"/>
              <w:left w:val="nil"/>
              <w:bottom w:val="single" w:sz="4" w:space="0" w:color="auto"/>
              <w:right w:val="nil"/>
            </w:tcBorders>
            <w:vAlign w:val="center"/>
          </w:tcPr>
          <w:p w14:paraId="41873E48" w14:textId="77777777" w:rsidR="00786D81" w:rsidRPr="005A515B" w:rsidRDefault="00786D81" w:rsidP="005077A8">
            <w:pPr>
              <w:spacing w:before="40" w:after="40"/>
              <w:contextualSpacing w:val="0"/>
              <w:jc w:val="center"/>
              <w:rPr>
                <w:rFonts w:ascii="Arial Narrow" w:hAnsi="Arial Narrow"/>
                <w:b/>
                <w:sz w:val="20"/>
              </w:rPr>
            </w:pPr>
            <w:r w:rsidRPr="005A515B">
              <w:rPr>
                <w:rFonts w:ascii="Arial Narrow" w:hAnsi="Arial Narrow"/>
                <w:b/>
                <w:sz w:val="20"/>
              </w:rPr>
              <w:t>TAC</w:t>
            </w:r>
          </w:p>
        </w:tc>
        <w:tc>
          <w:tcPr>
            <w:tcW w:w="798" w:type="pct"/>
            <w:tcBorders>
              <w:top w:val="nil"/>
              <w:left w:val="nil"/>
              <w:bottom w:val="single" w:sz="4" w:space="0" w:color="auto"/>
              <w:right w:val="nil"/>
            </w:tcBorders>
            <w:vAlign w:val="center"/>
          </w:tcPr>
          <w:p w14:paraId="7C6D2BB7" w14:textId="77777777" w:rsidR="00786D81" w:rsidRPr="005A515B" w:rsidRDefault="00786D81" w:rsidP="005077A8">
            <w:pPr>
              <w:spacing w:before="40" w:after="40"/>
              <w:contextualSpacing w:val="0"/>
              <w:jc w:val="center"/>
              <w:rPr>
                <w:rFonts w:ascii="Arial Narrow" w:hAnsi="Arial Narrow"/>
                <w:b/>
                <w:sz w:val="20"/>
              </w:rPr>
            </w:pPr>
            <w:r w:rsidRPr="005A515B">
              <w:rPr>
                <w:rFonts w:ascii="Arial Narrow" w:hAnsi="Arial Narrow"/>
                <w:b/>
                <w:sz w:val="20"/>
              </w:rPr>
              <w:t>TACC</w:t>
            </w:r>
          </w:p>
        </w:tc>
        <w:tc>
          <w:tcPr>
            <w:tcW w:w="580" w:type="pct"/>
            <w:tcBorders>
              <w:top w:val="single" w:sz="4" w:space="0" w:color="auto"/>
              <w:left w:val="nil"/>
              <w:bottom w:val="single" w:sz="4" w:space="0" w:color="auto"/>
              <w:right w:val="nil"/>
            </w:tcBorders>
            <w:vAlign w:val="center"/>
          </w:tcPr>
          <w:p w14:paraId="03330A57" w14:textId="77777777" w:rsidR="00786D81" w:rsidRPr="005A515B" w:rsidRDefault="00786D81" w:rsidP="005077A8">
            <w:pPr>
              <w:spacing w:before="40" w:after="40"/>
              <w:contextualSpacing w:val="0"/>
              <w:jc w:val="center"/>
              <w:rPr>
                <w:rFonts w:ascii="Arial Narrow" w:hAnsi="Arial Narrow"/>
                <w:b/>
                <w:sz w:val="20"/>
              </w:rPr>
            </w:pPr>
            <w:r w:rsidRPr="005A515B">
              <w:rPr>
                <w:rFonts w:ascii="Arial Narrow" w:hAnsi="Arial Narrow"/>
                <w:b/>
                <w:sz w:val="20"/>
              </w:rPr>
              <w:t>Customary Māori</w:t>
            </w:r>
          </w:p>
        </w:tc>
        <w:tc>
          <w:tcPr>
            <w:tcW w:w="652" w:type="pct"/>
            <w:tcBorders>
              <w:top w:val="single" w:sz="4" w:space="0" w:color="auto"/>
              <w:left w:val="nil"/>
              <w:bottom w:val="single" w:sz="4" w:space="0" w:color="auto"/>
              <w:right w:val="nil"/>
            </w:tcBorders>
            <w:vAlign w:val="center"/>
          </w:tcPr>
          <w:p w14:paraId="58204CA6" w14:textId="77777777" w:rsidR="00786D81" w:rsidRPr="005A515B" w:rsidRDefault="00786D81" w:rsidP="005077A8">
            <w:pPr>
              <w:spacing w:before="40" w:after="40"/>
              <w:contextualSpacing w:val="0"/>
              <w:jc w:val="center"/>
              <w:rPr>
                <w:rFonts w:ascii="Arial Narrow" w:hAnsi="Arial Narrow"/>
                <w:b/>
                <w:sz w:val="20"/>
              </w:rPr>
            </w:pPr>
            <w:r w:rsidRPr="005A515B">
              <w:rPr>
                <w:rFonts w:ascii="Arial Narrow" w:hAnsi="Arial Narrow"/>
                <w:b/>
                <w:sz w:val="20"/>
              </w:rPr>
              <w:t>Recreational</w:t>
            </w:r>
          </w:p>
        </w:tc>
        <w:tc>
          <w:tcPr>
            <w:tcW w:w="652" w:type="pct"/>
            <w:tcBorders>
              <w:top w:val="single" w:sz="4" w:space="0" w:color="auto"/>
              <w:left w:val="nil"/>
              <w:bottom w:val="single" w:sz="4" w:space="0" w:color="auto"/>
              <w:right w:val="nil"/>
            </w:tcBorders>
            <w:vAlign w:val="center"/>
          </w:tcPr>
          <w:p w14:paraId="6A295A1D" w14:textId="77777777" w:rsidR="00786D81" w:rsidRPr="005A515B" w:rsidRDefault="00786D81" w:rsidP="005077A8">
            <w:pPr>
              <w:spacing w:before="40" w:after="40"/>
              <w:contextualSpacing w:val="0"/>
              <w:jc w:val="center"/>
              <w:rPr>
                <w:rFonts w:ascii="Arial Narrow" w:hAnsi="Arial Narrow"/>
                <w:b/>
                <w:sz w:val="20"/>
              </w:rPr>
            </w:pPr>
            <w:r w:rsidRPr="005A515B">
              <w:rPr>
                <w:rFonts w:ascii="Arial Narrow" w:hAnsi="Arial Narrow"/>
                <w:b/>
                <w:sz w:val="20"/>
              </w:rPr>
              <w:t>Other mortality</w:t>
            </w:r>
          </w:p>
        </w:tc>
      </w:tr>
      <w:tr w:rsidR="00AB5AC9" w:rsidRPr="005A515B" w14:paraId="2B15EF93" w14:textId="77777777" w:rsidTr="00CD0541">
        <w:trPr>
          <w:trHeight w:val="408"/>
        </w:trPr>
        <w:tc>
          <w:tcPr>
            <w:tcW w:w="362" w:type="pct"/>
            <w:vMerge w:val="restart"/>
            <w:tcBorders>
              <w:top w:val="single" w:sz="4" w:space="0" w:color="auto"/>
              <w:left w:val="nil"/>
              <w:right w:val="nil"/>
            </w:tcBorders>
            <w:vAlign w:val="center"/>
          </w:tcPr>
          <w:p w14:paraId="41BC6CA1" w14:textId="1C20B574" w:rsidR="008E557D" w:rsidRDefault="008E557D" w:rsidP="0031641A">
            <w:pPr>
              <w:spacing w:before="40" w:after="40"/>
              <w:contextualSpacing w:val="0"/>
              <w:rPr>
                <w:rFonts w:ascii="Arial Narrow" w:hAnsi="Arial Narrow"/>
                <w:b/>
                <w:sz w:val="20"/>
              </w:rPr>
            </w:pPr>
            <w:r>
              <w:rPr>
                <w:rFonts w:ascii="Arial Narrow" w:hAnsi="Arial Narrow"/>
                <w:b/>
                <w:sz w:val="20"/>
              </w:rPr>
              <w:t>CRA 3</w:t>
            </w:r>
          </w:p>
        </w:tc>
        <w:tc>
          <w:tcPr>
            <w:tcW w:w="1159" w:type="pct"/>
            <w:tcBorders>
              <w:top w:val="single" w:sz="4" w:space="0" w:color="auto"/>
              <w:left w:val="nil"/>
              <w:bottom w:val="nil"/>
              <w:right w:val="nil"/>
            </w:tcBorders>
            <w:vAlign w:val="center"/>
          </w:tcPr>
          <w:p w14:paraId="74A027B7" w14:textId="7BBA21EF" w:rsidR="008E557D" w:rsidRDefault="008E557D" w:rsidP="0031641A">
            <w:pPr>
              <w:spacing w:before="40" w:after="40"/>
              <w:contextualSpacing w:val="0"/>
              <w:rPr>
                <w:rFonts w:ascii="Arial Narrow" w:hAnsi="Arial Narrow"/>
                <w:b/>
                <w:sz w:val="20"/>
              </w:rPr>
            </w:pPr>
            <w:r>
              <w:rPr>
                <w:rFonts w:ascii="Arial Narrow" w:hAnsi="Arial Narrow"/>
                <w:b/>
                <w:sz w:val="20"/>
              </w:rPr>
              <w:t>CRA3</w:t>
            </w:r>
            <w:r w:rsidRPr="00B05741">
              <w:rPr>
                <w:rFonts w:ascii="Arial Narrow" w:hAnsi="Arial Narrow"/>
                <w:b/>
                <w:sz w:val="20"/>
              </w:rPr>
              <w:t>_0</w:t>
            </w:r>
            <w:r>
              <w:rPr>
                <w:rFonts w:ascii="Arial Narrow" w:hAnsi="Arial Narrow"/>
                <w:b/>
                <w:sz w:val="20"/>
              </w:rPr>
              <w:t xml:space="preserve">1: </w:t>
            </w:r>
            <w:r>
              <w:rPr>
                <w:rFonts w:ascii="Arial Narrow" w:hAnsi="Arial Narrow"/>
                <w:i/>
                <w:sz w:val="20"/>
              </w:rPr>
              <w:t>S</w:t>
            </w:r>
            <w:r w:rsidRPr="007F35E0">
              <w:rPr>
                <w:rFonts w:ascii="Arial Narrow" w:hAnsi="Arial Narrow"/>
                <w:i/>
                <w:sz w:val="20"/>
              </w:rPr>
              <w:t>tatus quo</w:t>
            </w:r>
          </w:p>
        </w:tc>
        <w:tc>
          <w:tcPr>
            <w:tcW w:w="796" w:type="pct"/>
            <w:tcBorders>
              <w:top w:val="single" w:sz="4" w:space="0" w:color="auto"/>
              <w:left w:val="nil"/>
              <w:bottom w:val="nil"/>
              <w:right w:val="nil"/>
            </w:tcBorders>
            <w:vAlign w:val="center"/>
          </w:tcPr>
          <w:p w14:paraId="3F207F68" w14:textId="0B683A36" w:rsidR="008E557D" w:rsidRDefault="008E557D" w:rsidP="0031641A">
            <w:pPr>
              <w:spacing w:before="40" w:after="40"/>
              <w:contextualSpacing w:val="0"/>
              <w:jc w:val="center"/>
              <w:rPr>
                <w:rFonts w:ascii="Arial Narrow" w:hAnsi="Arial Narrow"/>
                <w:sz w:val="20"/>
              </w:rPr>
            </w:pPr>
            <w:r>
              <w:rPr>
                <w:rFonts w:ascii="Arial Narrow" w:hAnsi="Arial Narrow"/>
                <w:sz w:val="20"/>
              </w:rPr>
              <w:t>366.</w:t>
            </w:r>
            <w:r w:rsidR="000D38A6">
              <w:rPr>
                <w:rFonts w:ascii="Arial Narrow" w:hAnsi="Arial Narrow"/>
                <w:sz w:val="20"/>
              </w:rPr>
              <w:t>86</w:t>
            </w:r>
          </w:p>
        </w:tc>
        <w:tc>
          <w:tcPr>
            <w:tcW w:w="798" w:type="pct"/>
            <w:tcBorders>
              <w:top w:val="single" w:sz="4" w:space="0" w:color="auto"/>
              <w:left w:val="nil"/>
              <w:bottom w:val="nil"/>
              <w:right w:val="nil"/>
            </w:tcBorders>
            <w:vAlign w:val="center"/>
          </w:tcPr>
          <w:p w14:paraId="5CC49039" w14:textId="388DD54D" w:rsidR="008E557D" w:rsidRDefault="008E557D" w:rsidP="005077A8">
            <w:pPr>
              <w:spacing w:before="40" w:after="40"/>
              <w:contextualSpacing w:val="0"/>
              <w:jc w:val="center"/>
              <w:rPr>
                <w:rFonts w:ascii="Arial Narrow" w:hAnsi="Arial Narrow"/>
                <w:sz w:val="20"/>
              </w:rPr>
            </w:pPr>
            <w:r>
              <w:rPr>
                <w:rFonts w:ascii="Arial Narrow" w:hAnsi="Arial Narrow"/>
                <w:sz w:val="20"/>
              </w:rPr>
              <w:t>237.</w:t>
            </w:r>
            <w:r w:rsidR="000D38A6">
              <w:rPr>
                <w:rFonts w:ascii="Arial Narrow" w:hAnsi="Arial Narrow"/>
                <w:sz w:val="20"/>
              </w:rPr>
              <w:t>86</w:t>
            </w:r>
          </w:p>
        </w:tc>
        <w:tc>
          <w:tcPr>
            <w:tcW w:w="580" w:type="pct"/>
            <w:vMerge w:val="restart"/>
            <w:tcBorders>
              <w:top w:val="single" w:sz="4" w:space="0" w:color="auto"/>
              <w:left w:val="nil"/>
              <w:right w:val="nil"/>
            </w:tcBorders>
            <w:vAlign w:val="center"/>
          </w:tcPr>
          <w:p w14:paraId="7BDDB392" w14:textId="65EA118B" w:rsidR="008E557D" w:rsidRDefault="008E557D" w:rsidP="005077A8">
            <w:pPr>
              <w:spacing w:before="40" w:after="40"/>
              <w:contextualSpacing w:val="0"/>
              <w:jc w:val="center"/>
              <w:rPr>
                <w:rFonts w:ascii="Arial Narrow" w:hAnsi="Arial Narrow"/>
                <w:sz w:val="20"/>
              </w:rPr>
            </w:pPr>
            <w:r>
              <w:rPr>
                <w:rFonts w:ascii="Arial Narrow" w:hAnsi="Arial Narrow"/>
                <w:sz w:val="20"/>
              </w:rPr>
              <w:t>20</w:t>
            </w:r>
          </w:p>
        </w:tc>
        <w:tc>
          <w:tcPr>
            <w:tcW w:w="652" w:type="pct"/>
            <w:vMerge w:val="restart"/>
            <w:tcBorders>
              <w:top w:val="single" w:sz="4" w:space="0" w:color="auto"/>
              <w:left w:val="nil"/>
              <w:right w:val="nil"/>
            </w:tcBorders>
            <w:vAlign w:val="center"/>
          </w:tcPr>
          <w:p w14:paraId="033ED237" w14:textId="23D78FFD" w:rsidR="008E557D" w:rsidRDefault="008E557D" w:rsidP="005077A8">
            <w:pPr>
              <w:spacing w:before="40" w:after="40"/>
              <w:contextualSpacing w:val="0"/>
              <w:jc w:val="center"/>
              <w:rPr>
                <w:rFonts w:ascii="Arial Narrow" w:hAnsi="Arial Narrow"/>
                <w:sz w:val="20"/>
              </w:rPr>
            </w:pPr>
            <w:r>
              <w:rPr>
                <w:rFonts w:ascii="Arial Narrow" w:hAnsi="Arial Narrow"/>
                <w:sz w:val="20"/>
              </w:rPr>
              <w:t>20</w:t>
            </w:r>
          </w:p>
        </w:tc>
        <w:tc>
          <w:tcPr>
            <w:tcW w:w="652" w:type="pct"/>
            <w:vMerge w:val="restart"/>
            <w:tcBorders>
              <w:top w:val="single" w:sz="4" w:space="0" w:color="auto"/>
              <w:left w:val="nil"/>
              <w:right w:val="nil"/>
            </w:tcBorders>
            <w:vAlign w:val="center"/>
          </w:tcPr>
          <w:p w14:paraId="1C134A4B" w14:textId="2CCBE4D1" w:rsidR="008E557D" w:rsidRDefault="008E557D" w:rsidP="005077A8">
            <w:pPr>
              <w:spacing w:before="40" w:after="40"/>
              <w:contextualSpacing w:val="0"/>
              <w:jc w:val="center"/>
              <w:rPr>
                <w:rFonts w:ascii="Arial Narrow" w:hAnsi="Arial Narrow"/>
                <w:sz w:val="20"/>
              </w:rPr>
            </w:pPr>
            <w:r>
              <w:rPr>
                <w:rFonts w:ascii="Arial Narrow" w:hAnsi="Arial Narrow"/>
                <w:sz w:val="20"/>
              </w:rPr>
              <w:t>89</w:t>
            </w:r>
          </w:p>
        </w:tc>
      </w:tr>
      <w:tr w:rsidR="00AB5AC9" w:rsidRPr="005A515B" w14:paraId="41635A54" w14:textId="77777777" w:rsidTr="00CD0541">
        <w:trPr>
          <w:trHeight w:val="408"/>
        </w:trPr>
        <w:tc>
          <w:tcPr>
            <w:tcW w:w="362" w:type="pct"/>
            <w:vMerge/>
            <w:tcBorders>
              <w:left w:val="nil"/>
              <w:right w:val="nil"/>
            </w:tcBorders>
            <w:vAlign w:val="center"/>
          </w:tcPr>
          <w:p w14:paraId="03949A18" w14:textId="4EE10D65" w:rsidR="008E557D" w:rsidRDefault="008E557D" w:rsidP="005077A8">
            <w:pPr>
              <w:spacing w:before="40" w:after="40"/>
              <w:contextualSpacing w:val="0"/>
              <w:rPr>
                <w:rFonts w:ascii="Arial Narrow" w:hAnsi="Arial Narrow"/>
                <w:b/>
                <w:sz w:val="20"/>
              </w:rPr>
            </w:pPr>
          </w:p>
        </w:tc>
        <w:tc>
          <w:tcPr>
            <w:tcW w:w="1159" w:type="pct"/>
            <w:tcBorders>
              <w:top w:val="nil"/>
              <w:left w:val="nil"/>
              <w:bottom w:val="nil"/>
              <w:right w:val="nil"/>
            </w:tcBorders>
            <w:vAlign w:val="center"/>
          </w:tcPr>
          <w:p w14:paraId="76E84D54" w14:textId="33592803" w:rsidR="008E557D" w:rsidRDefault="008E557D" w:rsidP="005077A8">
            <w:pPr>
              <w:spacing w:before="40" w:after="40"/>
              <w:contextualSpacing w:val="0"/>
              <w:rPr>
                <w:rFonts w:ascii="Arial Narrow" w:hAnsi="Arial Narrow"/>
                <w:b/>
                <w:sz w:val="20"/>
              </w:rPr>
            </w:pPr>
            <w:r w:rsidRPr="00B05741">
              <w:rPr>
                <w:rFonts w:ascii="Arial Narrow" w:hAnsi="Arial Narrow"/>
                <w:b/>
                <w:sz w:val="20"/>
              </w:rPr>
              <w:t>C</w:t>
            </w:r>
            <w:r>
              <w:rPr>
                <w:rFonts w:ascii="Arial Narrow" w:hAnsi="Arial Narrow"/>
                <w:b/>
                <w:sz w:val="20"/>
              </w:rPr>
              <w:t xml:space="preserve">RA3_02: </w:t>
            </w:r>
            <w:r>
              <w:rPr>
                <w:rFonts w:ascii="Arial Narrow" w:hAnsi="Arial Narrow"/>
                <w:sz w:val="20"/>
              </w:rPr>
              <w:t>Based on the operation</w:t>
            </w:r>
            <w:r w:rsidRPr="000945E5">
              <w:rPr>
                <w:rFonts w:ascii="Arial Narrow" w:hAnsi="Arial Narrow"/>
                <w:sz w:val="20"/>
              </w:rPr>
              <w:t xml:space="preserve"> </w:t>
            </w:r>
            <w:r>
              <w:rPr>
                <w:rFonts w:ascii="Arial Narrow" w:hAnsi="Arial Narrow"/>
                <w:sz w:val="20"/>
              </w:rPr>
              <w:t>of</w:t>
            </w:r>
            <w:r w:rsidR="00FD2ACE">
              <w:rPr>
                <w:rFonts w:ascii="Arial Narrow" w:hAnsi="Arial Narrow"/>
                <w:sz w:val="20"/>
              </w:rPr>
              <w:t xml:space="preserve"> </w:t>
            </w:r>
            <w:r>
              <w:rPr>
                <w:rFonts w:ascii="Arial Narrow" w:hAnsi="Arial Narrow"/>
                <w:sz w:val="20"/>
              </w:rPr>
              <w:t xml:space="preserve">the </w:t>
            </w:r>
            <w:r w:rsidRPr="000945E5">
              <w:rPr>
                <w:rFonts w:ascii="Arial Narrow" w:hAnsi="Arial Narrow"/>
                <w:sz w:val="20"/>
              </w:rPr>
              <w:t xml:space="preserve">CRA </w:t>
            </w:r>
            <w:r>
              <w:rPr>
                <w:rFonts w:ascii="Arial Narrow" w:hAnsi="Arial Narrow"/>
                <w:sz w:val="20"/>
              </w:rPr>
              <w:t>3 management procedure</w:t>
            </w:r>
          </w:p>
        </w:tc>
        <w:tc>
          <w:tcPr>
            <w:tcW w:w="796" w:type="pct"/>
            <w:tcBorders>
              <w:top w:val="nil"/>
              <w:left w:val="nil"/>
              <w:bottom w:val="nil"/>
              <w:right w:val="nil"/>
            </w:tcBorders>
            <w:vAlign w:val="center"/>
          </w:tcPr>
          <w:p w14:paraId="48EB7BB6" w14:textId="4AB017BE" w:rsidR="008E557D" w:rsidRDefault="00FD2ACE" w:rsidP="005077A8">
            <w:pPr>
              <w:spacing w:before="40" w:after="40"/>
              <w:contextualSpacing w:val="0"/>
              <w:jc w:val="center"/>
              <w:rPr>
                <w:rFonts w:ascii="Arial Narrow" w:hAnsi="Arial Narrow"/>
                <w:sz w:val="20"/>
              </w:rPr>
            </w:pPr>
            <w:r w:rsidRPr="00FD2ACE">
              <w:rPr>
                <w:rFonts w:ascii="Arial Narrow" w:hAnsi="Arial Narrow"/>
                <w:sz w:val="20"/>
              </w:rPr>
              <w:t xml:space="preserve">351.9 </w:t>
            </w:r>
            <w:r w:rsidR="008E557D" w:rsidRPr="00C72520">
              <w:rPr>
                <w:rFonts w:ascii="Arial Narrow" w:hAnsi="Arial Narrow"/>
                <w:b/>
                <w:color w:val="FF0000"/>
                <w:sz w:val="20"/>
              </w:rPr>
              <w:sym w:font="Wingdings" w:char="F0E2"/>
            </w:r>
            <w:r w:rsidRPr="00FD2ACE">
              <w:rPr>
                <w:rFonts w:ascii="Arial Narrow" w:hAnsi="Arial Narrow"/>
                <w:sz w:val="20"/>
              </w:rPr>
              <w:t xml:space="preserve"> (4.1%)</w:t>
            </w:r>
          </w:p>
        </w:tc>
        <w:tc>
          <w:tcPr>
            <w:tcW w:w="798" w:type="pct"/>
            <w:tcBorders>
              <w:top w:val="nil"/>
              <w:left w:val="nil"/>
              <w:bottom w:val="nil"/>
              <w:right w:val="nil"/>
            </w:tcBorders>
            <w:vAlign w:val="center"/>
          </w:tcPr>
          <w:p w14:paraId="0CF5DA0D" w14:textId="5526EC49" w:rsidR="008E557D" w:rsidRDefault="00FD2ACE" w:rsidP="005077A8">
            <w:pPr>
              <w:spacing w:before="40" w:after="40"/>
              <w:contextualSpacing w:val="0"/>
              <w:jc w:val="center"/>
              <w:rPr>
                <w:rFonts w:ascii="Arial Narrow" w:hAnsi="Arial Narrow"/>
                <w:sz w:val="20"/>
              </w:rPr>
            </w:pPr>
            <w:r w:rsidRPr="00FD2ACE">
              <w:rPr>
                <w:rFonts w:ascii="Arial Narrow" w:hAnsi="Arial Narrow"/>
                <w:sz w:val="20"/>
              </w:rPr>
              <w:t>222.9</w:t>
            </w:r>
            <w:r w:rsidRPr="00FD2ACE">
              <w:rPr>
                <w:rFonts w:ascii="Arial Narrow" w:hAnsi="Arial Narrow"/>
                <w:b/>
                <w:sz w:val="20"/>
              </w:rPr>
              <w:t xml:space="preserve"> </w:t>
            </w:r>
            <w:r w:rsidR="008E557D" w:rsidRPr="00C72520">
              <w:rPr>
                <w:rFonts w:ascii="Arial Narrow" w:hAnsi="Arial Narrow"/>
                <w:b/>
                <w:color w:val="FF0000"/>
                <w:sz w:val="20"/>
              </w:rPr>
              <w:sym w:font="Wingdings" w:char="F0E2"/>
            </w:r>
            <w:r w:rsidRPr="00FD2ACE">
              <w:rPr>
                <w:rFonts w:ascii="Arial Narrow" w:hAnsi="Arial Narrow"/>
                <w:sz w:val="20"/>
              </w:rPr>
              <w:t xml:space="preserve"> (6.3%)</w:t>
            </w:r>
          </w:p>
        </w:tc>
        <w:tc>
          <w:tcPr>
            <w:tcW w:w="580" w:type="pct"/>
            <w:vMerge/>
            <w:tcBorders>
              <w:left w:val="nil"/>
              <w:right w:val="nil"/>
            </w:tcBorders>
            <w:vAlign w:val="center"/>
          </w:tcPr>
          <w:p w14:paraId="4EBACB89" w14:textId="77777777" w:rsidR="008E557D" w:rsidRDefault="008E557D" w:rsidP="005077A8">
            <w:pPr>
              <w:spacing w:before="40" w:after="40"/>
              <w:contextualSpacing w:val="0"/>
              <w:jc w:val="center"/>
              <w:rPr>
                <w:rFonts w:ascii="Arial Narrow" w:hAnsi="Arial Narrow"/>
                <w:sz w:val="20"/>
              </w:rPr>
            </w:pPr>
          </w:p>
        </w:tc>
        <w:tc>
          <w:tcPr>
            <w:tcW w:w="652" w:type="pct"/>
            <w:vMerge/>
            <w:tcBorders>
              <w:left w:val="nil"/>
              <w:right w:val="nil"/>
            </w:tcBorders>
            <w:vAlign w:val="center"/>
          </w:tcPr>
          <w:p w14:paraId="6F1F240D" w14:textId="77777777" w:rsidR="008E557D" w:rsidRDefault="008E557D" w:rsidP="005077A8">
            <w:pPr>
              <w:spacing w:before="40" w:after="40"/>
              <w:contextualSpacing w:val="0"/>
              <w:jc w:val="center"/>
              <w:rPr>
                <w:rFonts w:ascii="Arial Narrow" w:hAnsi="Arial Narrow"/>
                <w:sz w:val="20"/>
              </w:rPr>
            </w:pPr>
          </w:p>
        </w:tc>
        <w:tc>
          <w:tcPr>
            <w:tcW w:w="652" w:type="pct"/>
            <w:vMerge/>
            <w:tcBorders>
              <w:left w:val="nil"/>
              <w:bottom w:val="single" w:sz="4" w:space="0" w:color="auto"/>
              <w:right w:val="nil"/>
            </w:tcBorders>
            <w:vAlign w:val="center"/>
          </w:tcPr>
          <w:p w14:paraId="18B70C66" w14:textId="005EEC36" w:rsidR="008E557D" w:rsidRDefault="008E557D" w:rsidP="005077A8">
            <w:pPr>
              <w:spacing w:before="40" w:after="40"/>
              <w:contextualSpacing w:val="0"/>
              <w:jc w:val="center"/>
              <w:rPr>
                <w:rFonts w:ascii="Arial Narrow" w:hAnsi="Arial Narrow"/>
                <w:sz w:val="20"/>
              </w:rPr>
            </w:pPr>
          </w:p>
        </w:tc>
      </w:tr>
      <w:tr w:rsidR="00AB5AC9" w:rsidRPr="005A515B" w14:paraId="76BEFD96" w14:textId="77777777" w:rsidTr="00CD0541">
        <w:trPr>
          <w:trHeight w:val="408"/>
        </w:trPr>
        <w:tc>
          <w:tcPr>
            <w:tcW w:w="362" w:type="pct"/>
            <w:vMerge w:val="restart"/>
            <w:tcBorders>
              <w:top w:val="single" w:sz="4" w:space="0" w:color="auto"/>
              <w:left w:val="nil"/>
              <w:right w:val="nil"/>
            </w:tcBorders>
            <w:vAlign w:val="center"/>
          </w:tcPr>
          <w:p w14:paraId="6FF369B0" w14:textId="77777777" w:rsidR="00C1510A" w:rsidRDefault="00C1510A" w:rsidP="0031641A">
            <w:pPr>
              <w:spacing w:before="40" w:after="40"/>
              <w:contextualSpacing w:val="0"/>
              <w:rPr>
                <w:rFonts w:ascii="Arial Narrow" w:hAnsi="Arial Narrow"/>
                <w:b/>
                <w:sz w:val="20"/>
              </w:rPr>
            </w:pPr>
            <w:r>
              <w:rPr>
                <w:rFonts w:ascii="Arial Narrow" w:hAnsi="Arial Narrow"/>
                <w:b/>
                <w:sz w:val="20"/>
              </w:rPr>
              <w:t>CRA 4</w:t>
            </w:r>
          </w:p>
        </w:tc>
        <w:tc>
          <w:tcPr>
            <w:tcW w:w="1159" w:type="pct"/>
            <w:tcBorders>
              <w:top w:val="single" w:sz="4" w:space="0" w:color="auto"/>
              <w:left w:val="nil"/>
              <w:bottom w:val="nil"/>
              <w:right w:val="nil"/>
            </w:tcBorders>
            <w:vAlign w:val="center"/>
          </w:tcPr>
          <w:p w14:paraId="682A8909" w14:textId="77777777" w:rsidR="00C1510A" w:rsidRPr="00B05741" w:rsidRDefault="00C1510A" w:rsidP="0031641A">
            <w:pPr>
              <w:spacing w:before="40" w:after="40"/>
              <w:contextualSpacing w:val="0"/>
              <w:rPr>
                <w:rFonts w:ascii="Arial Narrow" w:hAnsi="Arial Narrow"/>
                <w:b/>
                <w:sz w:val="20"/>
              </w:rPr>
            </w:pPr>
            <w:r>
              <w:rPr>
                <w:rFonts w:ascii="Arial Narrow" w:hAnsi="Arial Narrow"/>
                <w:b/>
                <w:sz w:val="20"/>
              </w:rPr>
              <w:t>CRA4</w:t>
            </w:r>
            <w:r w:rsidRPr="00B05741">
              <w:rPr>
                <w:rFonts w:ascii="Arial Narrow" w:hAnsi="Arial Narrow"/>
                <w:b/>
                <w:sz w:val="20"/>
              </w:rPr>
              <w:t>_0</w:t>
            </w:r>
            <w:r>
              <w:rPr>
                <w:rFonts w:ascii="Arial Narrow" w:hAnsi="Arial Narrow"/>
                <w:b/>
                <w:sz w:val="20"/>
              </w:rPr>
              <w:t xml:space="preserve">1: </w:t>
            </w:r>
            <w:r>
              <w:rPr>
                <w:rFonts w:ascii="Arial Narrow" w:hAnsi="Arial Narrow"/>
                <w:i/>
                <w:sz w:val="20"/>
              </w:rPr>
              <w:t>S</w:t>
            </w:r>
            <w:r w:rsidRPr="007F35E0">
              <w:rPr>
                <w:rFonts w:ascii="Arial Narrow" w:hAnsi="Arial Narrow"/>
                <w:i/>
                <w:sz w:val="20"/>
              </w:rPr>
              <w:t>tatus quo</w:t>
            </w:r>
          </w:p>
        </w:tc>
        <w:tc>
          <w:tcPr>
            <w:tcW w:w="796" w:type="pct"/>
            <w:tcBorders>
              <w:top w:val="single" w:sz="4" w:space="0" w:color="auto"/>
              <w:left w:val="nil"/>
              <w:bottom w:val="nil"/>
              <w:right w:val="nil"/>
            </w:tcBorders>
            <w:vAlign w:val="center"/>
          </w:tcPr>
          <w:p w14:paraId="42D8011A" w14:textId="07618A7A" w:rsidR="00C1510A" w:rsidRDefault="00AB5AC9" w:rsidP="005077A8">
            <w:pPr>
              <w:spacing w:before="40" w:after="40"/>
              <w:contextualSpacing w:val="0"/>
              <w:jc w:val="center"/>
              <w:rPr>
                <w:rFonts w:ascii="Arial Narrow" w:hAnsi="Arial Narrow"/>
                <w:sz w:val="20"/>
              </w:rPr>
            </w:pPr>
            <w:r>
              <w:rPr>
                <w:rFonts w:ascii="Arial Narrow" w:hAnsi="Arial Narrow"/>
                <w:sz w:val="20"/>
              </w:rPr>
              <w:t>513.8</w:t>
            </w:r>
          </w:p>
        </w:tc>
        <w:tc>
          <w:tcPr>
            <w:tcW w:w="798" w:type="pct"/>
            <w:tcBorders>
              <w:top w:val="single" w:sz="4" w:space="0" w:color="auto"/>
              <w:left w:val="nil"/>
              <w:bottom w:val="nil"/>
              <w:right w:val="nil"/>
            </w:tcBorders>
            <w:vAlign w:val="center"/>
          </w:tcPr>
          <w:p w14:paraId="73AF0C52" w14:textId="633BBAB7" w:rsidR="00C1510A" w:rsidRDefault="00AB5AC9" w:rsidP="005077A8">
            <w:pPr>
              <w:spacing w:before="40" w:after="40"/>
              <w:contextualSpacing w:val="0"/>
              <w:jc w:val="center"/>
              <w:rPr>
                <w:rFonts w:ascii="Arial Narrow" w:hAnsi="Arial Narrow"/>
                <w:sz w:val="20"/>
              </w:rPr>
            </w:pPr>
            <w:r>
              <w:rPr>
                <w:rFonts w:ascii="Arial Narrow" w:hAnsi="Arial Narrow"/>
                <w:sz w:val="20"/>
              </w:rPr>
              <w:t>318.8</w:t>
            </w:r>
          </w:p>
        </w:tc>
        <w:tc>
          <w:tcPr>
            <w:tcW w:w="580" w:type="pct"/>
            <w:vMerge w:val="restart"/>
            <w:tcBorders>
              <w:top w:val="single" w:sz="4" w:space="0" w:color="auto"/>
              <w:left w:val="nil"/>
              <w:right w:val="nil"/>
            </w:tcBorders>
            <w:vAlign w:val="center"/>
          </w:tcPr>
          <w:p w14:paraId="1D78A9BD" w14:textId="77777777" w:rsidR="00C1510A" w:rsidRDefault="00C1510A" w:rsidP="005077A8">
            <w:pPr>
              <w:spacing w:before="40" w:after="40"/>
              <w:contextualSpacing w:val="0"/>
              <w:jc w:val="center"/>
              <w:rPr>
                <w:rFonts w:ascii="Arial Narrow" w:hAnsi="Arial Narrow"/>
                <w:sz w:val="20"/>
              </w:rPr>
            </w:pPr>
            <w:r>
              <w:rPr>
                <w:rFonts w:ascii="Arial Narrow" w:hAnsi="Arial Narrow"/>
                <w:sz w:val="20"/>
              </w:rPr>
              <w:t>35</w:t>
            </w:r>
          </w:p>
        </w:tc>
        <w:tc>
          <w:tcPr>
            <w:tcW w:w="652" w:type="pct"/>
            <w:vMerge w:val="restart"/>
            <w:tcBorders>
              <w:top w:val="single" w:sz="4" w:space="0" w:color="auto"/>
              <w:left w:val="nil"/>
              <w:right w:val="nil"/>
            </w:tcBorders>
            <w:vAlign w:val="center"/>
          </w:tcPr>
          <w:p w14:paraId="50894B5D" w14:textId="77777777" w:rsidR="00C1510A" w:rsidRDefault="00C1510A" w:rsidP="005077A8">
            <w:pPr>
              <w:spacing w:before="40" w:after="40"/>
              <w:contextualSpacing w:val="0"/>
              <w:jc w:val="center"/>
              <w:rPr>
                <w:rFonts w:ascii="Arial Narrow" w:hAnsi="Arial Narrow"/>
                <w:sz w:val="20"/>
              </w:rPr>
            </w:pPr>
            <w:r>
              <w:rPr>
                <w:rFonts w:ascii="Arial Narrow" w:hAnsi="Arial Narrow"/>
                <w:sz w:val="20"/>
              </w:rPr>
              <w:t>85</w:t>
            </w:r>
          </w:p>
        </w:tc>
        <w:tc>
          <w:tcPr>
            <w:tcW w:w="652" w:type="pct"/>
            <w:tcBorders>
              <w:top w:val="single" w:sz="4" w:space="0" w:color="auto"/>
              <w:left w:val="nil"/>
              <w:bottom w:val="nil"/>
              <w:right w:val="nil"/>
            </w:tcBorders>
            <w:vAlign w:val="center"/>
          </w:tcPr>
          <w:p w14:paraId="6460F5B5" w14:textId="3A93BB68" w:rsidR="00C1510A" w:rsidRDefault="00C1510A" w:rsidP="005077A8">
            <w:pPr>
              <w:spacing w:before="40" w:after="40"/>
              <w:contextualSpacing w:val="0"/>
              <w:jc w:val="center"/>
              <w:rPr>
                <w:rFonts w:ascii="Arial Narrow" w:hAnsi="Arial Narrow"/>
                <w:sz w:val="20"/>
              </w:rPr>
            </w:pPr>
            <w:r>
              <w:rPr>
                <w:rFonts w:ascii="Arial Narrow" w:hAnsi="Arial Narrow"/>
                <w:sz w:val="20"/>
              </w:rPr>
              <w:t>75</w:t>
            </w:r>
          </w:p>
        </w:tc>
      </w:tr>
      <w:tr w:rsidR="00AB5AC9" w:rsidRPr="005A515B" w14:paraId="0B1C063E" w14:textId="77777777" w:rsidTr="00CA2F99">
        <w:trPr>
          <w:trHeight w:val="408"/>
        </w:trPr>
        <w:tc>
          <w:tcPr>
            <w:tcW w:w="362" w:type="pct"/>
            <w:vMerge/>
            <w:tcBorders>
              <w:left w:val="nil"/>
              <w:bottom w:val="single" w:sz="4" w:space="0" w:color="auto"/>
              <w:right w:val="nil"/>
            </w:tcBorders>
            <w:vAlign w:val="center"/>
          </w:tcPr>
          <w:p w14:paraId="181365B8" w14:textId="77777777" w:rsidR="00C1510A" w:rsidRPr="005A515B" w:rsidRDefault="00C1510A" w:rsidP="005077A8">
            <w:pPr>
              <w:spacing w:before="40" w:after="40"/>
              <w:contextualSpacing w:val="0"/>
              <w:rPr>
                <w:rFonts w:ascii="Arial Narrow" w:hAnsi="Arial Narrow"/>
                <w:b/>
                <w:sz w:val="20"/>
              </w:rPr>
            </w:pPr>
          </w:p>
        </w:tc>
        <w:tc>
          <w:tcPr>
            <w:tcW w:w="1159" w:type="pct"/>
            <w:tcBorders>
              <w:top w:val="nil"/>
              <w:left w:val="nil"/>
              <w:bottom w:val="single" w:sz="4" w:space="0" w:color="auto"/>
              <w:right w:val="nil"/>
            </w:tcBorders>
            <w:vAlign w:val="center"/>
          </w:tcPr>
          <w:p w14:paraId="3B3211FF" w14:textId="7CAF7D6D" w:rsidR="00C1510A" w:rsidRPr="00B05741" w:rsidRDefault="00C1510A" w:rsidP="005077A8">
            <w:pPr>
              <w:spacing w:before="40" w:after="40"/>
              <w:contextualSpacing w:val="0"/>
              <w:rPr>
                <w:rFonts w:ascii="Arial Narrow" w:hAnsi="Arial Narrow"/>
                <w:b/>
                <w:sz w:val="20"/>
              </w:rPr>
            </w:pPr>
            <w:r w:rsidRPr="00B05741">
              <w:rPr>
                <w:rFonts w:ascii="Arial Narrow" w:hAnsi="Arial Narrow"/>
                <w:b/>
                <w:sz w:val="20"/>
              </w:rPr>
              <w:t>C</w:t>
            </w:r>
            <w:r>
              <w:rPr>
                <w:rFonts w:ascii="Arial Narrow" w:hAnsi="Arial Narrow"/>
                <w:b/>
                <w:sz w:val="20"/>
              </w:rPr>
              <w:t xml:space="preserve">RA4_02: </w:t>
            </w:r>
            <w:r>
              <w:rPr>
                <w:rFonts w:ascii="Arial Narrow" w:hAnsi="Arial Narrow"/>
                <w:sz w:val="20"/>
              </w:rPr>
              <w:t>Based on the operation</w:t>
            </w:r>
            <w:r w:rsidRPr="000945E5">
              <w:rPr>
                <w:rFonts w:ascii="Arial Narrow" w:hAnsi="Arial Narrow"/>
                <w:sz w:val="20"/>
              </w:rPr>
              <w:t xml:space="preserve"> </w:t>
            </w:r>
            <w:r>
              <w:rPr>
                <w:rFonts w:ascii="Arial Narrow" w:hAnsi="Arial Narrow"/>
                <w:sz w:val="20"/>
              </w:rPr>
              <w:t>of</w:t>
            </w:r>
            <w:r w:rsidR="00FD2ACE">
              <w:rPr>
                <w:rFonts w:ascii="Arial Narrow" w:hAnsi="Arial Narrow"/>
                <w:sz w:val="20"/>
              </w:rPr>
              <w:t xml:space="preserve"> </w:t>
            </w:r>
            <w:r>
              <w:rPr>
                <w:rFonts w:ascii="Arial Narrow" w:hAnsi="Arial Narrow"/>
                <w:sz w:val="20"/>
              </w:rPr>
              <w:t xml:space="preserve">the </w:t>
            </w:r>
            <w:r w:rsidRPr="000945E5">
              <w:rPr>
                <w:rFonts w:ascii="Arial Narrow" w:hAnsi="Arial Narrow"/>
                <w:sz w:val="20"/>
              </w:rPr>
              <w:t xml:space="preserve">CRA </w:t>
            </w:r>
            <w:r>
              <w:rPr>
                <w:rFonts w:ascii="Arial Narrow" w:hAnsi="Arial Narrow"/>
                <w:sz w:val="20"/>
              </w:rPr>
              <w:t>4 management procedure</w:t>
            </w:r>
          </w:p>
        </w:tc>
        <w:tc>
          <w:tcPr>
            <w:tcW w:w="796" w:type="pct"/>
            <w:tcBorders>
              <w:top w:val="nil"/>
              <w:left w:val="nil"/>
              <w:bottom w:val="single" w:sz="4" w:space="0" w:color="auto"/>
              <w:right w:val="nil"/>
            </w:tcBorders>
            <w:vAlign w:val="center"/>
          </w:tcPr>
          <w:p w14:paraId="0AE9286D" w14:textId="65C26513" w:rsidR="00C1510A" w:rsidRPr="00B05741" w:rsidRDefault="00AB5AC9" w:rsidP="005077A8">
            <w:pPr>
              <w:spacing w:before="40" w:after="40"/>
              <w:contextualSpacing w:val="0"/>
              <w:jc w:val="center"/>
              <w:rPr>
                <w:rFonts w:ascii="Arial Narrow" w:hAnsi="Arial Narrow"/>
                <w:sz w:val="20"/>
              </w:rPr>
            </w:pPr>
            <w:r>
              <w:rPr>
                <w:rFonts w:ascii="Arial Narrow" w:hAnsi="Arial Narrow"/>
                <w:sz w:val="20"/>
              </w:rPr>
              <w:t>5</w:t>
            </w:r>
            <w:r w:rsidR="002B71FA">
              <w:rPr>
                <w:rFonts w:ascii="Arial Narrow" w:hAnsi="Arial Narrow"/>
                <w:sz w:val="20"/>
              </w:rPr>
              <w:t>58</w:t>
            </w:r>
            <w:r w:rsidR="00C1510A" w:rsidRPr="00B05741">
              <w:rPr>
                <w:rFonts w:ascii="Arial Narrow" w:hAnsi="Arial Narrow"/>
                <w:sz w:val="20"/>
              </w:rPr>
              <w:t xml:space="preserve"> </w:t>
            </w:r>
            <w:r w:rsidR="00C1510A" w:rsidRPr="00C72520">
              <w:rPr>
                <w:rFonts w:ascii="Arial Narrow" w:hAnsi="Arial Narrow"/>
                <w:b/>
                <w:color w:val="00B050"/>
                <w:sz w:val="20"/>
              </w:rPr>
              <w:sym w:font="Wingdings" w:char="F0E1"/>
            </w:r>
            <w:r w:rsidRPr="00AB5AC9">
              <w:rPr>
                <w:rFonts w:ascii="Arial Narrow" w:hAnsi="Arial Narrow"/>
                <w:sz w:val="20"/>
              </w:rPr>
              <w:t xml:space="preserve"> (</w:t>
            </w:r>
            <w:r w:rsidR="002B71FA">
              <w:rPr>
                <w:rFonts w:ascii="Arial Narrow" w:hAnsi="Arial Narrow"/>
                <w:sz w:val="20"/>
              </w:rPr>
              <w:t>8</w:t>
            </w:r>
            <w:r w:rsidRPr="00AB5AC9">
              <w:rPr>
                <w:rFonts w:ascii="Arial Narrow" w:hAnsi="Arial Narrow"/>
                <w:sz w:val="20"/>
              </w:rPr>
              <w:t>.6%)</w:t>
            </w:r>
          </w:p>
        </w:tc>
        <w:tc>
          <w:tcPr>
            <w:tcW w:w="798" w:type="pct"/>
            <w:tcBorders>
              <w:top w:val="nil"/>
              <w:left w:val="nil"/>
              <w:bottom w:val="single" w:sz="4" w:space="0" w:color="auto"/>
              <w:right w:val="nil"/>
            </w:tcBorders>
            <w:vAlign w:val="center"/>
          </w:tcPr>
          <w:p w14:paraId="2DC08756" w14:textId="418825C9" w:rsidR="00C1510A" w:rsidRPr="00B05741" w:rsidRDefault="00AB5AC9" w:rsidP="005077A8">
            <w:pPr>
              <w:spacing w:before="40" w:after="40"/>
              <w:contextualSpacing w:val="0"/>
              <w:jc w:val="center"/>
              <w:rPr>
                <w:rFonts w:ascii="Arial Narrow" w:hAnsi="Arial Narrow"/>
                <w:sz w:val="20"/>
              </w:rPr>
            </w:pPr>
            <w:r>
              <w:rPr>
                <w:rFonts w:ascii="Arial Narrow" w:hAnsi="Arial Narrow"/>
                <w:sz w:val="20"/>
              </w:rPr>
              <w:t>380</w:t>
            </w:r>
            <w:r w:rsidR="00C1510A" w:rsidRPr="00B05741">
              <w:rPr>
                <w:rFonts w:ascii="Arial Narrow" w:hAnsi="Arial Narrow"/>
                <w:sz w:val="20"/>
              </w:rPr>
              <w:t xml:space="preserve"> </w:t>
            </w:r>
            <w:r w:rsidR="00C1510A" w:rsidRPr="00C72520">
              <w:rPr>
                <w:rFonts w:ascii="Arial Narrow" w:hAnsi="Arial Narrow"/>
                <w:b/>
                <w:color w:val="00B050"/>
                <w:sz w:val="20"/>
              </w:rPr>
              <w:sym w:font="Wingdings" w:char="F0E1"/>
            </w:r>
            <w:r w:rsidRPr="00AB5AC9">
              <w:rPr>
                <w:rFonts w:ascii="Arial Narrow" w:hAnsi="Arial Narrow"/>
                <w:sz w:val="20"/>
              </w:rPr>
              <w:t xml:space="preserve"> (19.2%)</w:t>
            </w:r>
          </w:p>
        </w:tc>
        <w:tc>
          <w:tcPr>
            <w:tcW w:w="580" w:type="pct"/>
            <w:vMerge/>
            <w:tcBorders>
              <w:left w:val="nil"/>
              <w:bottom w:val="single" w:sz="4" w:space="0" w:color="auto"/>
              <w:right w:val="nil"/>
            </w:tcBorders>
            <w:vAlign w:val="center"/>
          </w:tcPr>
          <w:p w14:paraId="4E14A863" w14:textId="77777777" w:rsidR="00C1510A" w:rsidRPr="005A515B" w:rsidRDefault="00C1510A" w:rsidP="005077A8">
            <w:pPr>
              <w:spacing w:before="40" w:after="40"/>
              <w:contextualSpacing w:val="0"/>
              <w:rPr>
                <w:rFonts w:ascii="Arial Narrow" w:hAnsi="Arial Narrow"/>
                <w:sz w:val="20"/>
              </w:rPr>
            </w:pPr>
          </w:p>
        </w:tc>
        <w:tc>
          <w:tcPr>
            <w:tcW w:w="652" w:type="pct"/>
            <w:vMerge/>
            <w:tcBorders>
              <w:left w:val="nil"/>
              <w:bottom w:val="single" w:sz="4" w:space="0" w:color="auto"/>
              <w:right w:val="nil"/>
            </w:tcBorders>
            <w:vAlign w:val="center"/>
          </w:tcPr>
          <w:p w14:paraId="3D26B25D" w14:textId="77777777" w:rsidR="00C1510A" w:rsidRPr="005A515B" w:rsidRDefault="00C1510A" w:rsidP="005077A8">
            <w:pPr>
              <w:spacing w:before="40" w:after="40"/>
              <w:contextualSpacing w:val="0"/>
              <w:rPr>
                <w:rFonts w:ascii="Arial Narrow" w:hAnsi="Arial Narrow"/>
                <w:sz w:val="20"/>
              </w:rPr>
            </w:pPr>
          </w:p>
        </w:tc>
        <w:tc>
          <w:tcPr>
            <w:tcW w:w="652" w:type="pct"/>
            <w:tcBorders>
              <w:top w:val="nil"/>
              <w:left w:val="nil"/>
              <w:bottom w:val="single" w:sz="4" w:space="0" w:color="auto"/>
              <w:right w:val="nil"/>
            </w:tcBorders>
            <w:vAlign w:val="center"/>
          </w:tcPr>
          <w:p w14:paraId="762F2E9C" w14:textId="5205AB30" w:rsidR="00C1510A" w:rsidRPr="005A515B" w:rsidRDefault="002B71FA" w:rsidP="005077A8">
            <w:pPr>
              <w:spacing w:before="40" w:after="40"/>
              <w:contextualSpacing w:val="0"/>
              <w:rPr>
                <w:rFonts w:ascii="Arial Narrow" w:hAnsi="Arial Narrow"/>
                <w:sz w:val="20"/>
              </w:rPr>
            </w:pPr>
            <w:r>
              <w:rPr>
                <w:rFonts w:ascii="Arial Narrow" w:hAnsi="Arial Narrow"/>
                <w:sz w:val="20"/>
              </w:rPr>
              <w:t>58</w:t>
            </w:r>
            <w:r w:rsidR="00AB5AC9">
              <w:rPr>
                <w:rFonts w:ascii="Arial Narrow" w:hAnsi="Arial Narrow"/>
                <w:sz w:val="20"/>
              </w:rPr>
              <w:t xml:space="preserve"> </w:t>
            </w:r>
            <w:r w:rsidR="00AB5AC9" w:rsidRPr="00C72520">
              <w:rPr>
                <w:rFonts w:ascii="Arial Narrow" w:hAnsi="Arial Narrow"/>
                <w:b/>
                <w:color w:val="FF0000"/>
                <w:sz w:val="20"/>
              </w:rPr>
              <w:sym w:font="Wingdings" w:char="F0E2"/>
            </w:r>
            <w:r w:rsidR="00AB5AC9">
              <w:rPr>
                <w:rFonts w:ascii="Arial Narrow" w:hAnsi="Arial Narrow"/>
                <w:sz w:val="20"/>
              </w:rPr>
              <w:t xml:space="preserve"> (</w:t>
            </w:r>
            <w:r>
              <w:rPr>
                <w:rFonts w:ascii="Arial Narrow" w:hAnsi="Arial Narrow"/>
                <w:sz w:val="20"/>
              </w:rPr>
              <w:t>22.7</w:t>
            </w:r>
            <w:r w:rsidR="00AB5AC9" w:rsidRPr="00FD2ACE">
              <w:rPr>
                <w:rFonts w:ascii="Arial Narrow" w:hAnsi="Arial Narrow"/>
                <w:sz w:val="20"/>
              </w:rPr>
              <w:t>%)</w:t>
            </w:r>
          </w:p>
        </w:tc>
      </w:tr>
      <w:tr w:rsidR="004474BD" w:rsidRPr="005A515B" w14:paraId="777F945B" w14:textId="77777777" w:rsidTr="004474BD">
        <w:trPr>
          <w:trHeight w:val="408"/>
        </w:trPr>
        <w:tc>
          <w:tcPr>
            <w:tcW w:w="362" w:type="pct"/>
            <w:vMerge w:val="restart"/>
            <w:tcBorders>
              <w:left w:val="nil"/>
              <w:right w:val="nil"/>
            </w:tcBorders>
            <w:vAlign w:val="center"/>
          </w:tcPr>
          <w:p w14:paraId="51331840" w14:textId="77777777" w:rsidR="004474BD" w:rsidRDefault="004474BD" w:rsidP="0031641A">
            <w:pPr>
              <w:spacing w:before="40" w:after="40"/>
              <w:contextualSpacing w:val="0"/>
              <w:rPr>
                <w:rFonts w:ascii="Arial Narrow" w:hAnsi="Arial Narrow"/>
                <w:b/>
                <w:sz w:val="20"/>
              </w:rPr>
            </w:pPr>
            <w:r>
              <w:rPr>
                <w:rFonts w:ascii="Arial Narrow" w:hAnsi="Arial Narrow"/>
                <w:b/>
                <w:sz w:val="20"/>
              </w:rPr>
              <w:t>CRA 8</w:t>
            </w:r>
          </w:p>
        </w:tc>
        <w:tc>
          <w:tcPr>
            <w:tcW w:w="1159" w:type="pct"/>
            <w:tcBorders>
              <w:top w:val="single" w:sz="4" w:space="0" w:color="auto"/>
              <w:left w:val="nil"/>
              <w:bottom w:val="nil"/>
              <w:right w:val="nil"/>
            </w:tcBorders>
            <w:vAlign w:val="center"/>
          </w:tcPr>
          <w:p w14:paraId="30363527" w14:textId="77777777" w:rsidR="004474BD" w:rsidRDefault="004474BD" w:rsidP="0031641A">
            <w:pPr>
              <w:spacing w:before="40" w:after="40"/>
              <w:contextualSpacing w:val="0"/>
              <w:rPr>
                <w:rFonts w:ascii="Arial Narrow" w:hAnsi="Arial Narrow"/>
                <w:b/>
                <w:sz w:val="20"/>
              </w:rPr>
            </w:pPr>
            <w:r>
              <w:rPr>
                <w:rFonts w:ascii="Arial Narrow" w:hAnsi="Arial Narrow"/>
                <w:b/>
                <w:sz w:val="20"/>
              </w:rPr>
              <w:t>CRA8_01:</w:t>
            </w:r>
            <w:r>
              <w:rPr>
                <w:rFonts w:ascii="Arial Narrow" w:hAnsi="Arial Narrow"/>
                <w:i/>
                <w:sz w:val="20"/>
              </w:rPr>
              <w:t xml:space="preserve"> S</w:t>
            </w:r>
            <w:r w:rsidRPr="007F35E0">
              <w:rPr>
                <w:rFonts w:ascii="Arial Narrow" w:hAnsi="Arial Narrow"/>
                <w:i/>
                <w:sz w:val="20"/>
              </w:rPr>
              <w:t>tatus quo</w:t>
            </w:r>
          </w:p>
        </w:tc>
        <w:tc>
          <w:tcPr>
            <w:tcW w:w="796" w:type="pct"/>
            <w:tcBorders>
              <w:top w:val="single" w:sz="4" w:space="0" w:color="auto"/>
              <w:left w:val="nil"/>
              <w:bottom w:val="nil"/>
              <w:right w:val="nil"/>
            </w:tcBorders>
            <w:vAlign w:val="center"/>
          </w:tcPr>
          <w:p w14:paraId="2AA1F435" w14:textId="1EAC10E5" w:rsidR="004474BD" w:rsidRDefault="004474BD" w:rsidP="005077A8">
            <w:pPr>
              <w:spacing w:before="40" w:after="40"/>
              <w:contextualSpacing w:val="0"/>
              <w:jc w:val="center"/>
              <w:rPr>
                <w:rFonts w:ascii="Arial Narrow" w:hAnsi="Arial Narrow"/>
                <w:sz w:val="20"/>
              </w:rPr>
            </w:pPr>
            <w:r>
              <w:rPr>
                <w:rFonts w:ascii="Arial Narrow" w:hAnsi="Arial Narrow"/>
                <w:sz w:val="20"/>
              </w:rPr>
              <w:t>1,161.7</w:t>
            </w:r>
          </w:p>
        </w:tc>
        <w:tc>
          <w:tcPr>
            <w:tcW w:w="798" w:type="pct"/>
            <w:tcBorders>
              <w:top w:val="single" w:sz="4" w:space="0" w:color="auto"/>
              <w:left w:val="nil"/>
              <w:bottom w:val="nil"/>
              <w:right w:val="nil"/>
            </w:tcBorders>
            <w:vAlign w:val="center"/>
          </w:tcPr>
          <w:p w14:paraId="22226355" w14:textId="534E6445" w:rsidR="004474BD" w:rsidRDefault="004474BD" w:rsidP="005077A8">
            <w:pPr>
              <w:spacing w:before="40" w:after="40"/>
              <w:contextualSpacing w:val="0"/>
              <w:jc w:val="center"/>
              <w:rPr>
                <w:rFonts w:ascii="Arial Narrow" w:hAnsi="Arial Narrow"/>
                <w:sz w:val="20"/>
              </w:rPr>
            </w:pPr>
            <w:r>
              <w:rPr>
                <w:rFonts w:ascii="Arial Narrow" w:hAnsi="Arial Narrow"/>
                <w:sz w:val="20"/>
              </w:rPr>
              <w:t>1,070.7</w:t>
            </w:r>
          </w:p>
        </w:tc>
        <w:tc>
          <w:tcPr>
            <w:tcW w:w="580" w:type="pct"/>
            <w:vMerge w:val="restart"/>
            <w:tcBorders>
              <w:top w:val="single" w:sz="4" w:space="0" w:color="auto"/>
              <w:left w:val="nil"/>
              <w:right w:val="nil"/>
            </w:tcBorders>
            <w:vAlign w:val="center"/>
          </w:tcPr>
          <w:p w14:paraId="1C4971B2" w14:textId="77777777" w:rsidR="004474BD" w:rsidRDefault="004474BD" w:rsidP="005077A8">
            <w:pPr>
              <w:spacing w:before="40" w:after="40"/>
              <w:contextualSpacing w:val="0"/>
              <w:jc w:val="center"/>
              <w:rPr>
                <w:rFonts w:ascii="Arial Narrow" w:hAnsi="Arial Narrow"/>
                <w:sz w:val="20"/>
              </w:rPr>
            </w:pPr>
            <w:r>
              <w:rPr>
                <w:rFonts w:ascii="Arial Narrow" w:hAnsi="Arial Narrow"/>
                <w:sz w:val="20"/>
              </w:rPr>
              <w:t>30</w:t>
            </w:r>
          </w:p>
        </w:tc>
        <w:tc>
          <w:tcPr>
            <w:tcW w:w="652" w:type="pct"/>
            <w:vMerge w:val="restart"/>
            <w:tcBorders>
              <w:top w:val="single" w:sz="4" w:space="0" w:color="auto"/>
              <w:left w:val="nil"/>
              <w:right w:val="nil"/>
            </w:tcBorders>
            <w:vAlign w:val="center"/>
          </w:tcPr>
          <w:p w14:paraId="489B8DE2" w14:textId="6FED3FD2" w:rsidR="004474BD" w:rsidRDefault="004474BD" w:rsidP="005077A8">
            <w:pPr>
              <w:spacing w:before="40" w:after="40"/>
              <w:jc w:val="center"/>
              <w:rPr>
                <w:rFonts w:ascii="Arial Narrow" w:hAnsi="Arial Narrow"/>
                <w:sz w:val="20"/>
              </w:rPr>
            </w:pPr>
            <w:r>
              <w:rPr>
                <w:rFonts w:ascii="Arial Narrow" w:hAnsi="Arial Narrow"/>
                <w:sz w:val="20"/>
              </w:rPr>
              <w:t>33</w:t>
            </w:r>
          </w:p>
        </w:tc>
        <w:tc>
          <w:tcPr>
            <w:tcW w:w="652" w:type="pct"/>
            <w:vMerge w:val="restart"/>
            <w:tcBorders>
              <w:top w:val="single" w:sz="4" w:space="0" w:color="auto"/>
              <w:left w:val="nil"/>
              <w:right w:val="nil"/>
            </w:tcBorders>
            <w:vAlign w:val="center"/>
          </w:tcPr>
          <w:p w14:paraId="129EF73D" w14:textId="6650D2B4" w:rsidR="004474BD" w:rsidRDefault="004474BD" w:rsidP="004474BD">
            <w:pPr>
              <w:spacing w:before="40" w:after="40"/>
              <w:contextualSpacing w:val="0"/>
              <w:jc w:val="center"/>
              <w:rPr>
                <w:rFonts w:ascii="Arial Narrow" w:hAnsi="Arial Narrow"/>
                <w:sz w:val="20"/>
              </w:rPr>
            </w:pPr>
            <w:r>
              <w:rPr>
                <w:rFonts w:ascii="Arial Narrow" w:hAnsi="Arial Narrow"/>
                <w:sz w:val="20"/>
              </w:rPr>
              <w:t>28</w:t>
            </w:r>
          </w:p>
        </w:tc>
      </w:tr>
      <w:tr w:rsidR="004474BD" w:rsidRPr="005A515B" w14:paraId="52C4973D" w14:textId="77777777" w:rsidTr="004474BD">
        <w:trPr>
          <w:trHeight w:val="408"/>
        </w:trPr>
        <w:tc>
          <w:tcPr>
            <w:tcW w:w="362" w:type="pct"/>
            <w:vMerge/>
            <w:tcBorders>
              <w:top w:val="nil"/>
              <w:left w:val="nil"/>
              <w:bottom w:val="single" w:sz="4" w:space="0" w:color="auto"/>
              <w:right w:val="nil"/>
            </w:tcBorders>
            <w:vAlign w:val="center"/>
          </w:tcPr>
          <w:p w14:paraId="746B65E9" w14:textId="77777777" w:rsidR="004474BD" w:rsidRPr="005A515B" w:rsidRDefault="004474BD" w:rsidP="005077A8">
            <w:pPr>
              <w:spacing w:before="40" w:after="40"/>
              <w:contextualSpacing w:val="0"/>
              <w:rPr>
                <w:rFonts w:ascii="Arial Narrow" w:hAnsi="Arial Narrow"/>
                <w:b/>
                <w:sz w:val="20"/>
              </w:rPr>
            </w:pPr>
          </w:p>
        </w:tc>
        <w:tc>
          <w:tcPr>
            <w:tcW w:w="1159" w:type="pct"/>
            <w:tcBorders>
              <w:top w:val="nil"/>
              <w:left w:val="nil"/>
              <w:bottom w:val="single" w:sz="4" w:space="0" w:color="auto"/>
              <w:right w:val="nil"/>
            </w:tcBorders>
            <w:vAlign w:val="center"/>
          </w:tcPr>
          <w:p w14:paraId="5731896A" w14:textId="1C1BA793" w:rsidR="004474BD" w:rsidRPr="00EF4D57" w:rsidRDefault="004474BD" w:rsidP="005077A8">
            <w:pPr>
              <w:spacing w:before="40" w:after="40"/>
              <w:contextualSpacing w:val="0"/>
              <w:rPr>
                <w:rFonts w:ascii="Arial Narrow" w:hAnsi="Arial Narrow"/>
                <w:sz w:val="20"/>
              </w:rPr>
            </w:pPr>
            <w:r>
              <w:rPr>
                <w:rFonts w:ascii="Arial Narrow" w:hAnsi="Arial Narrow"/>
                <w:b/>
                <w:sz w:val="20"/>
              </w:rPr>
              <w:t>CRA8_02:</w:t>
            </w:r>
            <w:r w:rsidRPr="000945E5">
              <w:rPr>
                <w:rFonts w:ascii="Arial Narrow" w:hAnsi="Arial Narrow"/>
                <w:sz w:val="20"/>
              </w:rPr>
              <w:t xml:space="preserve"> </w:t>
            </w:r>
            <w:r>
              <w:rPr>
                <w:rFonts w:ascii="Arial Narrow" w:hAnsi="Arial Narrow"/>
                <w:sz w:val="20"/>
              </w:rPr>
              <w:t>Based on the operation</w:t>
            </w:r>
            <w:r w:rsidRPr="000945E5">
              <w:rPr>
                <w:rFonts w:ascii="Arial Narrow" w:hAnsi="Arial Narrow"/>
                <w:sz w:val="20"/>
              </w:rPr>
              <w:t xml:space="preserve"> </w:t>
            </w:r>
            <w:r>
              <w:rPr>
                <w:rFonts w:ascii="Arial Narrow" w:hAnsi="Arial Narrow"/>
                <w:sz w:val="20"/>
              </w:rPr>
              <w:t xml:space="preserve">of the </w:t>
            </w:r>
            <w:r w:rsidRPr="000945E5">
              <w:rPr>
                <w:rFonts w:ascii="Arial Narrow" w:hAnsi="Arial Narrow"/>
                <w:sz w:val="20"/>
              </w:rPr>
              <w:t xml:space="preserve">CRA </w:t>
            </w:r>
            <w:r>
              <w:rPr>
                <w:rFonts w:ascii="Arial Narrow" w:hAnsi="Arial Narrow"/>
                <w:sz w:val="20"/>
              </w:rPr>
              <w:t>8 management procedure</w:t>
            </w:r>
          </w:p>
        </w:tc>
        <w:tc>
          <w:tcPr>
            <w:tcW w:w="796" w:type="pct"/>
            <w:tcBorders>
              <w:top w:val="nil"/>
              <w:left w:val="nil"/>
              <w:bottom w:val="single" w:sz="4" w:space="0" w:color="auto"/>
              <w:right w:val="nil"/>
            </w:tcBorders>
            <w:vAlign w:val="center"/>
          </w:tcPr>
          <w:p w14:paraId="22718565" w14:textId="699AB24F" w:rsidR="004474BD" w:rsidRDefault="004474BD" w:rsidP="005077A8">
            <w:pPr>
              <w:spacing w:before="40" w:after="40"/>
              <w:contextualSpacing w:val="0"/>
              <w:jc w:val="center"/>
              <w:rPr>
                <w:rFonts w:ascii="Arial Narrow" w:hAnsi="Arial Narrow"/>
                <w:sz w:val="20"/>
              </w:rPr>
            </w:pPr>
            <w:r>
              <w:rPr>
                <w:rFonts w:ascii="Arial Narrow" w:hAnsi="Arial Narrow"/>
                <w:sz w:val="20"/>
              </w:rPr>
              <w:t>1,220.6</w:t>
            </w:r>
            <w:r w:rsidRPr="00B05741">
              <w:rPr>
                <w:rFonts w:ascii="Arial Narrow" w:hAnsi="Arial Narrow"/>
                <w:sz w:val="20"/>
              </w:rPr>
              <w:t xml:space="preserve"> </w:t>
            </w:r>
            <w:r w:rsidRPr="00C72520">
              <w:rPr>
                <w:rFonts w:ascii="Arial Narrow" w:hAnsi="Arial Narrow"/>
                <w:b/>
                <w:color w:val="00B050"/>
                <w:sz w:val="20"/>
              </w:rPr>
              <w:sym w:font="Wingdings" w:char="F0E1"/>
            </w:r>
            <w:r>
              <w:rPr>
                <w:rFonts w:ascii="Arial Narrow" w:hAnsi="Arial Narrow"/>
                <w:sz w:val="20"/>
              </w:rPr>
              <w:t xml:space="preserve"> (5.1</w:t>
            </w:r>
            <w:r w:rsidRPr="00AB5AC9">
              <w:rPr>
                <w:rFonts w:ascii="Arial Narrow" w:hAnsi="Arial Narrow"/>
                <w:sz w:val="20"/>
              </w:rPr>
              <w:t>%)</w:t>
            </w:r>
          </w:p>
        </w:tc>
        <w:tc>
          <w:tcPr>
            <w:tcW w:w="798" w:type="pct"/>
            <w:tcBorders>
              <w:top w:val="nil"/>
              <w:left w:val="nil"/>
              <w:bottom w:val="single" w:sz="4" w:space="0" w:color="auto"/>
              <w:right w:val="nil"/>
            </w:tcBorders>
            <w:vAlign w:val="center"/>
          </w:tcPr>
          <w:p w14:paraId="78173E04" w14:textId="20B6D4BB" w:rsidR="004474BD" w:rsidRDefault="004474BD" w:rsidP="005077A8">
            <w:pPr>
              <w:spacing w:before="40" w:after="40"/>
              <w:contextualSpacing w:val="0"/>
              <w:jc w:val="center"/>
              <w:rPr>
                <w:rFonts w:ascii="Arial Narrow" w:hAnsi="Arial Narrow"/>
                <w:sz w:val="20"/>
              </w:rPr>
            </w:pPr>
            <w:r>
              <w:rPr>
                <w:rFonts w:ascii="Arial Narrow" w:hAnsi="Arial Narrow"/>
                <w:sz w:val="20"/>
              </w:rPr>
              <w:t xml:space="preserve">1,129.6 </w:t>
            </w:r>
            <w:r w:rsidRPr="00C72520">
              <w:rPr>
                <w:rFonts w:ascii="Arial Narrow" w:hAnsi="Arial Narrow"/>
                <w:b/>
                <w:color w:val="00B050"/>
                <w:sz w:val="20"/>
              </w:rPr>
              <w:sym w:font="Wingdings" w:char="F0E1"/>
            </w:r>
            <w:r>
              <w:rPr>
                <w:rFonts w:ascii="Arial Narrow" w:hAnsi="Arial Narrow"/>
                <w:b/>
                <w:color w:val="00B050"/>
                <w:sz w:val="20"/>
              </w:rPr>
              <w:t xml:space="preserve"> </w:t>
            </w:r>
            <w:r w:rsidRPr="00AB5AC9">
              <w:rPr>
                <w:rFonts w:ascii="Arial Narrow" w:hAnsi="Arial Narrow"/>
                <w:sz w:val="20"/>
              </w:rPr>
              <w:t>(5.5</w:t>
            </w:r>
            <w:r>
              <w:rPr>
                <w:rFonts w:ascii="Arial Narrow" w:hAnsi="Arial Narrow"/>
                <w:sz w:val="20"/>
              </w:rPr>
              <w:t>%</w:t>
            </w:r>
            <w:r w:rsidRPr="00AB5AC9">
              <w:rPr>
                <w:rFonts w:ascii="Arial Narrow" w:hAnsi="Arial Narrow"/>
                <w:sz w:val="20"/>
              </w:rPr>
              <w:t>)</w:t>
            </w:r>
          </w:p>
        </w:tc>
        <w:tc>
          <w:tcPr>
            <w:tcW w:w="580" w:type="pct"/>
            <w:vMerge/>
            <w:tcBorders>
              <w:top w:val="nil"/>
              <w:left w:val="nil"/>
              <w:bottom w:val="single" w:sz="4" w:space="0" w:color="auto"/>
              <w:right w:val="nil"/>
            </w:tcBorders>
            <w:vAlign w:val="center"/>
          </w:tcPr>
          <w:p w14:paraId="2EB326DA" w14:textId="77777777" w:rsidR="004474BD" w:rsidRDefault="004474BD" w:rsidP="005077A8">
            <w:pPr>
              <w:spacing w:before="40" w:after="40"/>
              <w:contextualSpacing w:val="0"/>
              <w:jc w:val="center"/>
              <w:rPr>
                <w:rFonts w:ascii="Arial Narrow" w:hAnsi="Arial Narrow"/>
                <w:sz w:val="20"/>
              </w:rPr>
            </w:pPr>
          </w:p>
        </w:tc>
        <w:tc>
          <w:tcPr>
            <w:tcW w:w="652" w:type="pct"/>
            <w:vMerge/>
            <w:tcBorders>
              <w:left w:val="nil"/>
              <w:bottom w:val="single" w:sz="4" w:space="0" w:color="auto"/>
              <w:right w:val="nil"/>
            </w:tcBorders>
            <w:vAlign w:val="center"/>
          </w:tcPr>
          <w:p w14:paraId="29E6355D" w14:textId="095871AB" w:rsidR="004474BD" w:rsidRDefault="004474BD" w:rsidP="005077A8">
            <w:pPr>
              <w:spacing w:before="40" w:after="40"/>
              <w:contextualSpacing w:val="0"/>
              <w:jc w:val="center"/>
              <w:rPr>
                <w:rFonts w:ascii="Arial Narrow" w:hAnsi="Arial Narrow"/>
                <w:sz w:val="20"/>
              </w:rPr>
            </w:pPr>
          </w:p>
        </w:tc>
        <w:tc>
          <w:tcPr>
            <w:tcW w:w="652" w:type="pct"/>
            <w:vMerge/>
            <w:tcBorders>
              <w:left w:val="nil"/>
              <w:bottom w:val="single" w:sz="4" w:space="0" w:color="auto"/>
              <w:right w:val="nil"/>
            </w:tcBorders>
            <w:vAlign w:val="center"/>
          </w:tcPr>
          <w:p w14:paraId="7F9A0527" w14:textId="6B0453F8" w:rsidR="004474BD" w:rsidRDefault="004474BD" w:rsidP="004474BD">
            <w:pPr>
              <w:spacing w:before="40" w:after="40"/>
              <w:contextualSpacing w:val="0"/>
              <w:rPr>
                <w:rFonts w:ascii="Arial Narrow" w:hAnsi="Arial Narrow"/>
                <w:sz w:val="20"/>
              </w:rPr>
            </w:pPr>
          </w:p>
        </w:tc>
      </w:tr>
    </w:tbl>
    <w:p w14:paraId="3655EBB5" w14:textId="77777777" w:rsidR="003F3682" w:rsidRDefault="003F3682" w:rsidP="003F3682">
      <w:pPr>
        <w:rPr>
          <w:rFonts w:ascii="Arial" w:hAnsi="Arial" w:cs="Arial"/>
        </w:rPr>
      </w:pPr>
    </w:p>
    <w:p w14:paraId="226CA6DC" w14:textId="77777777" w:rsidR="004E2FCA" w:rsidRPr="003F3682" w:rsidRDefault="004E2FCA" w:rsidP="003F3682">
      <w:pPr>
        <w:rPr>
          <w:rFonts w:ascii="Arial" w:hAnsi="Arial" w:cs="Arial"/>
        </w:rPr>
      </w:pPr>
    </w:p>
    <w:p w14:paraId="55A8873C" w14:textId="77777777" w:rsidR="00786D81" w:rsidRDefault="00786D81">
      <w:pPr>
        <w:pStyle w:val="Heading1"/>
        <w:numPr>
          <w:ilvl w:val="0"/>
          <w:numId w:val="4"/>
        </w:numPr>
        <w:ind w:left="567" w:hanging="567"/>
      </w:pPr>
      <w:bookmarkStart w:id="33" w:name="_Toc500855016"/>
      <w:bookmarkStart w:id="34" w:name="_Toc501013871"/>
      <w:bookmarkStart w:id="35" w:name="_Toc501526366"/>
      <w:bookmarkStart w:id="36" w:name="_Toc501698614"/>
      <w:bookmarkStart w:id="37" w:name="_Toc503362770"/>
      <w:bookmarkStart w:id="38" w:name="_Toc531692786"/>
      <w:bookmarkStart w:id="39" w:name="_Toc532471879"/>
      <w:r>
        <w:t>Why the need for change?</w:t>
      </w:r>
      <w:bookmarkEnd w:id="33"/>
      <w:bookmarkEnd w:id="34"/>
      <w:bookmarkEnd w:id="35"/>
      <w:bookmarkEnd w:id="36"/>
      <w:bookmarkEnd w:id="37"/>
      <w:bookmarkEnd w:id="38"/>
      <w:bookmarkEnd w:id="39"/>
    </w:p>
    <w:p w14:paraId="3D58FDE9" w14:textId="5013EF61" w:rsidR="00786D81" w:rsidRPr="00857D97" w:rsidRDefault="00786D81" w:rsidP="005077A8">
      <w:pPr>
        <w:pStyle w:val="ListParagraph"/>
        <w:numPr>
          <w:ilvl w:val="0"/>
          <w:numId w:val="26"/>
        </w:numPr>
        <w:spacing w:after="0" w:line="240" w:lineRule="auto"/>
        <w:ind w:left="567" w:hanging="567"/>
        <w:jc w:val="left"/>
        <w:rPr>
          <w:rFonts w:ascii="Arial" w:hAnsi="Arial" w:cs="Arial"/>
          <w:szCs w:val="24"/>
        </w:rPr>
      </w:pPr>
      <w:r w:rsidRPr="00857D97">
        <w:rPr>
          <w:rFonts w:ascii="Arial" w:hAnsi="Arial" w:cs="Arial"/>
          <w:szCs w:val="24"/>
        </w:rPr>
        <w:t xml:space="preserve">Every year </w:t>
      </w:r>
      <w:r w:rsidR="00526225" w:rsidRPr="00857D97">
        <w:rPr>
          <w:rFonts w:ascii="Arial" w:hAnsi="Arial" w:cs="Arial"/>
          <w:szCs w:val="24"/>
        </w:rPr>
        <w:t xml:space="preserve">Fisheries New Zealand </w:t>
      </w:r>
      <w:r w:rsidRPr="00857D97">
        <w:rPr>
          <w:rFonts w:ascii="Arial" w:hAnsi="Arial" w:cs="Arial"/>
          <w:szCs w:val="24"/>
        </w:rPr>
        <w:t xml:space="preserve">and the </w:t>
      </w:r>
      <w:r w:rsidR="00526225" w:rsidRPr="00857D97">
        <w:rPr>
          <w:rFonts w:ascii="Arial" w:hAnsi="Arial" w:cs="Arial"/>
          <w:szCs w:val="24"/>
        </w:rPr>
        <w:t xml:space="preserve">National Rock Lobster Management Group </w:t>
      </w:r>
      <w:r w:rsidRPr="00857D97">
        <w:rPr>
          <w:rFonts w:ascii="Arial" w:hAnsi="Arial" w:cs="Arial"/>
          <w:szCs w:val="24"/>
        </w:rPr>
        <w:t>consider the results from stock assessments or the operation of management procedures. This process informs advice to the Minister and decisions on whether catch settings should change for the upcoming April fishing year, to provide for utilisation while ensuring sustainability.</w:t>
      </w:r>
    </w:p>
    <w:p w14:paraId="1A11A9D1" w14:textId="77777777" w:rsidR="00786D81" w:rsidRPr="00857D97" w:rsidRDefault="00786D81" w:rsidP="00857D97">
      <w:pPr>
        <w:ind w:left="567" w:hanging="567"/>
        <w:rPr>
          <w:rFonts w:ascii="Arial" w:hAnsi="Arial" w:cs="Arial"/>
          <w:sz w:val="22"/>
          <w:szCs w:val="24"/>
        </w:rPr>
      </w:pPr>
    </w:p>
    <w:p w14:paraId="32AC660F" w14:textId="64BF8B7D" w:rsidR="00786D81" w:rsidRPr="00857D97" w:rsidRDefault="00786D81" w:rsidP="005077A8">
      <w:pPr>
        <w:pStyle w:val="ListParagraph"/>
        <w:numPr>
          <w:ilvl w:val="0"/>
          <w:numId w:val="26"/>
        </w:numPr>
        <w:spacing w:after="0" w:line="240" w:lineRule="auto"/>
        <w:ind w:left="567" w:hanging="567"/>
        <w:jc w:val="left"/>
        <w:rPr>
          <w:rFonts w:ascii="Arial" w:hAnsi="Arial" w:cs="Arial"/>
          <w:szCs w:val="24"/>
        </w:rPr>
      </w:pPr>
      <w:r w:rsidRPr="00857D97">
        <w:rPr>
          <w:rFonts w:ascii="Arial" w:hAnsi="Arial" w:cs="Arial"/>
          <w:szCs w:val="24"/>
        </w:rPr>
        <w:t xml:space="preserve">Full scientific assessments of most rock lobster stocks are carried out every four to five years. These assessments estimate the current status of the stock relative to the desired levels of abundance, and also show how the stock has responded to previous management controls. In between years, management procedures are used in most rock lobster stocks (except for </w:t>
      </w:r>
      <w:r w:rsidR="00C1510A" w:rsidRPr="00857D97">
        <w:rPr>
          <w:rFonts w:ascii="Arial" w:hAnsi="Arial" w:cs="Arial"/>
          <w:szCs w:val="24"/>
        </w:rPr>
        <w:t xml:space="preserve">CRA 2 – Hauraki Gulf/Bay of Plenty, </w:t>
      </w:r>
      <w:r w:rsidRPr="00857D97">
        <w:rPr>
          <w:rFonts w:ascii="Arial" w:hAnsi="Arial" w:cs="Arial"/>
          <w:szCs w:val="24"/>
        </w:rPr>
        <w:t>CRA 6 – Chatham Islands</w:t>
      </w:r>
      <w:r w:rsidR="00C1510A" w:rsidRPr="00857D97">
        <w:rPr>
          <w:rFonts w:ascii="Arial" w:hAnsi="Arial" w:cs="Arial"/>
          <w:szCs w:val="24"/>
        </w:rPr>
        <w:t>,</w:t>
      </w:r>
      <w:r w:rsidRPr="00857D97">
        <w:rPr>
          <w:rFonts w:ascii="Arial" w:hAnsi="Arial" w:cs="Arial"/>
          <w:szCs w:val="24"/>
        </w:rPr>
        <w:t xml:space="preserve"> and CRA 9 – Westland/Taranaki) to guide the annual setting of TACs.</w:t>
      </w:r>
    </w:p>
    <w:p w14:paraId="1AD40A98" w14:textId="77777777" w:rsidR="00786D81" w:rsidRPr="00857D97" w:rsidRDefault="00786D81" w:rsidP="00857D97">
      <w:pPr>
        <w:ind w:left="567" w:hanging="567"/>
        <w:rPr>
          <w:rFonts w:ascii="Arial" w:hAnsi="Arial" w:cs="Arial"/>
          <w:sz w:val="22"/>
          <w:szCs w:val="24"/>
        </w:rPr>
      </w:pPr>
    </w:p>
    <w:p w14:paraId="60BA83C8" w14:textId="77777777" w:rsidR="002C54A7" w:rsidRDefault="002C54A7" w:rsidP="002C54A7">
      <w:pPr>
        <w:pStyle w:val="ListParagraph"/>
        <w:spacing w:after="0" w:line="240" w:lineRule="auto"/>
        <w:ind w:left="567"/>
        <w:jc w:val="left"/>
        <w:rPr>
          <w:rFonts w:ascii="Arial" w:hAnsi="Arial" w:cs="Arial"/>
          <w:szCs w:val="24"/>
        </w:rPr>
      </w:pPr>
    </w:p>
    <w:p w14:paraId="3B6E8BDB" w14:textId="77777777" w:rsidR="002C54A7" w:rsidRDefault="002C54A7">
      <w:pPr>
        <w:spacing w:after="160" w:line="259" w:lineRule="auto"/>
        <w:contextualSpacing w:val="0"/>
        <w:rPr>
          <w:rFonts w:ascii="Arial" w:hAnsi="Arial" w:cs="Arial"/>
          <w:sz w:val="22"/>
          <w:szCs w:val="24"/>
        </w:rPr>
      </w:pPr>
      <w:r>
        <w:rPr>
          <w:rFonts w:ascii="Arial" w:hAnsi="Arial" w:cs="Arial"/>
          <w:szCs w:val="24"/>
        </w:rPr>
        <w:br w:type="page"/>
      </w:r>
    </w:p>
    <w:p w14:paraId="53A72516" w14:textId="6E5E8704" w:rsidR="00786D81" w:rsidRPr="00857D97" w:rsidRDefault="00786D81" w:rsidP="005077A8">
      <w:pPr>
        <w:pStyle w:val="ListParagraph"/>
        <w:numPr>
          <w:ilvl w:val="0"/>
          <w:numId w:val="26"/>
        </w:numPr>
        <w:spacing w:after="0" w:line="240" w:lineRule="auto"/>
        <w:ind w:left="567" w:hanging="567"/>
        <w:jc w:val="left"/>
        <w:rPr>
          <w:rFonts w:ascii="Arial" w:hAnsi="Arial" w:cs="Arial"/>
          <w:szCs w:val="24"/>
        </w:rPr>
      </w:pPr>
      <w:r w:rsidRPr="00857D97">
        <w:rPr>
          <w:rFonts w:ascii="Arial" w:hAnsi="Arial" w:cs="Arial"/>
          <w:szCs w:val="24"/>
        </w:rPr>
        <w:lastRenderedPageBreak/>
        <w:t>Management procedures set out pre-agreed management actions that will be taken in response to annual changes in commercial catch rates (‘catch-per-unit-effort’ or ‘CPUE’).</w:t>
      </w:r>
      <w:r w:rsidRPr="00857D97">
        <w:rPr>
          <w:rStyle w:val="FootnoteReference"/>
          <w:rFonts w:ascii="Arial" w:eastAsiaTheme="majorEastAsia" w:hAnsi="Arial" w:cs="Arial"/>
          <w:szCs w:val="24"/>
        </w:rPr>
        <w:footnoteReference w:id="2"/>
      </w:r>
      <w:r w:rsidRPr="00857D97">
        <w:rPr>
          <w:rFonts w:ascii="Arial" w:hAnsi="Arial" w:cs="Arial"/>
          <w:szCs w:val="24"/>
        </w:rPr>
        <w:t xml:space="preserve"> Commercial CPUE is considered to be a reliable indicator of relative stock abundance. </w:t>
      </w:r>
    </w:p>
    <w:p w14:paraId="4E469BDA" w14:textId="77777777" w:rsidR="00786D81" w:rsidRPr="00857D97" w:rsidRDefault="00786D81" w:rsidP="00857D97">
      <w:pPr>
        <w:pStyle w:val="ListParagraph"/>
        <w:spacing w:after="0" w:line="240" w:lineRule="auto"/>
        <w:ind w:left="567" w:hanging="567"/>
        <w:contextualSpacing w:val="0"/>
        <w:rPr>
          <w:rFonts w:ascii="Arial" w:hAnsi="Arial" w:cs="Arial"/>
          <w:szCs w:val="24"/>
        </w:rPr>
      </w:pPr>
    </w:p>
    <w:p w14:paraId="05D5D264" w14:textId="108D1900" w:rsidR="00786D81" w:rsidRPr="00857D97" w:rsidRDefault="00786D81" w:rsidP="005077A8">
      <w:pPr>
        <w:pStyle w:val="ListParagraph"/>
        <w:numPr>
          <w:ilvl w:val="0"/>
          <w:numId w:val="26"/>
        </w:numPr>
        <w:spacing w:after="0" w:line="240" w:lineRule="auto"/>
        <w:ind w:left="567" w:hanging="567"/>
        <w:jc w:val="left"/>
        <w:rPr>
          <w:rFonts w:ascii="Arial" w:hAnsi="Arial" w:cs="Arial"/>
          <w:szCs w:val="24"/>
        </w:rPr>
      </w:pPr>
      <w:r w:rsidRPr="00857D97">
        <w:rPr>
          <w:rFonts w:ascii="Arial" w:hAnsi="Arial" w:cs="Arial"/>
          <w:szCs w:val="24"/>
        </w:rPr>
        <w:t>Each stock’s management procedure is generally reviewed every five years unless a</w:t>
      </w:r>
      <w:r w:rsidR="007F4CDD">
        <w:rPr>
          <w:rFonts w:ascii="Arial" w:hAnsi="Arial" w:cs="Arial"/>
          <w:szCs w:val="24"/>
        </w:rPr>
        <w:t>n</w:t>
      </w:r>
      <w:r w:rsidRPr="00857D97">
        <w:rPr>
          <w:rFonts w:ascii="Arial" w:hAnsi="Arial" w:cs="Arial"/>
          <w:szCs w:val="24"/>
        </w:rPr>
        <w:t xml:space="preserve"> </w:t>
      </w:r>
      <w:r w:rsidR="007F4CDD">
        <w:rPr>
          <w:rFonts w:ascii="Arial" w:hAnsi="Arial" w:cs="Arial"/>
          <w:szCs w:val="24"/>
        </w:rPr>
        <w:t>earlier</w:t>
      </w:r>
      <w:r w:rsidRPr="00857D97">
        <w:rPr>
          <w:rFonts w:ascii="Arial" w:hAnsi="Arial" w:cs="Arial"/>
          <w:szCs w:val="24"/>
        </w:rPr>
        <w:t xml:space="preserve"> review is requested and approved by </w:t>
      </w:r>
      <w:r w:rsidR="00526225" w:rsidRPr="00857D97">
        <w:rPr>
          <w:rFonts w:ascii="Arial" w:hAnsi="Arial" w:cs="Arial"/>
          <w:szCs w:val="24"/>
        </w:rPr>
        <w:t>Fisheries New Zealand</w:t>
      </w:r>
      <w:r w:rsidR="007C4B5E">
        <w:rPr>
          <w:rFonts w:ascii="Arial" w:hAnsi="Arial" w:cs="Arial"/>
          <w:szCs w:val="24"/>
        </w:rPr>
        <w:t>,</w:t>
      </w:r>
      <w:r w:rsidR="00526225" w:rsidRPr="00857D97">
        <w:rPr>
          <w:rFonts w:ascii="Arial" w:hAnsi="Arial" w:cs="Arial"/>
          <w:szCs w:val="24"/>
        </w:rPr>
        <w:t xml:space="preserve"> </w:t>
      </w:r>
      <w:r w:rsidRPr="00857D97">
        <w:rPr>
          <w:rFonts w:ascii="Arial" w:hAnsi="Arial" w:cs="Arial"/>
          <w:szCs w:val="24"/>
        </w:rPr>
        <w:t xml:space="preserve">and the </w:t>
      </w:r>
      <w:r w:rsidR="00526225" w:rsidRPr="00857D97">
        <w:rPr>
          <w:rFonts w:ascii="Arial" w:hAnsi="Arial" w:cs="Arial"/>
          <w:szCs w:val="24"/>
        </w:rPr>
        <w:t>National Rock Lobster Management Group</w:t>
      </w:r>
      <w:r w:rsidRPr="00857D97">
        <w:rPr>
          <w:rFonts w:ascii="Arial" w:hAnsi="Arial" w:cs="Arial"/>
          <w:szCs w:val="24"/>
        </w:rPr>
        <w:t xml:space="preserve">. The review is to ensure that TAC setting remains compliant with the statutory structure set out in the Fisheries Act 1996 (the Act). It involves a new stock assessment and management procedure evaluations to determine whether there are opportunities for increased utilisation, or sustainability risks that require a management response. </w:t>
      </w:r>
    </w:p>
    <w:p w14:paraId="76F4F1C9" w14:textId="77777777" w:rsidR="00786D81" w:rsidRPr="00857D97" w:rsidRDefault="00786D81" w:rsidP="00857D97">
      <w:pPr>
        <w:ind w:left="567" w:hanging="567"/>
        <w:rPr>
          <w:rFonts w:ascii="Arial" w:hAnsi="Arial" w:cs="Arial"/>
          <w:sz w:val="22"/>
          <w:szCs w:val="24"/>
        </w:rPr>
      </w:pPr>
    </w:p>
    <w:p w14:paraId="2DEC9359" w14:textId="1E68FF2D" w:rsidR="00786D81" w:rsidRPr="00857D97" w:rsidRDefault="00786D81" w:rsidP="005077A8">
      <w:pPr>
        <w:pStyle w:val="ListParagraph"/>
        <w:numPr>
          <w:ilvl w:val="0"/>
          <w:numId w:val="26"/>
        </w:numPr>
        <w:spacing w:after="0" w:line="240" w:lineRule="auto"/>
        <w:ind w:left="567" w:hanging="567"/>
        <w:jc w:val="left"/>
        <w:rPr>
          <w:rFonts w:ascii="Arial" w:hAnsi="Arial" w:cs="Arial"/>
          <w:szCs w:val="24"/>
        </w:rPr>
      </w:pPr>
      <w:r w:rsidRPr="00857D97">
        <w:rPr>
          <w:rFonts w:ascii="Arial" w:hAnsi="Arial" w:cs="Arial"/>
          <w:szCs w:val="24"/>
        </w:rPr>
        <w:t xml:space="preserve">Table </w:t>
      </w:r>
      <w:r w:rsidR="000D06CE">
        <w:rPr>
          <w:rFonts w:ascii="Arial" w:hAnsi="Arial" w:cs="Arial"/>
          <w:szCs w:val="24"/>
        </w:rPr>
        <w:t>2</w:t>
      </w:r>
      <w:r w:rsidRPr="00857D97">
        <w:rPr>
          <w:rFonts w:ascii="Arial" w:hAnsi="Arial" w:cs="Arial"/>
          <w:szCs w:val="24"/>
        </w:rPr>
        <w:t xml:space="preserve"> provides an outline of the use of current management procedures, and when they are scheduled for review.</w:t>
      </w:r>
    </w:p>
    <w:p w14:paraId="67DD8363" w14:textId="77777777" w:rsidR="00786D81" w:rsidRPr="00CA2F99" w:rsidRDefault="00786D81" w:rsidP="00786D81">
      <w:pPr>
        <w:rPr>
          <w:rFonts w:ascii="Arial" w:hAnsi="Arial" w:cs="Arial"/>
          <w:sz w:val="22"/>
          <w:szCs w:val="22"/>
        </w:rPr>
      </w:pPr>
    </w:p>
    <w:p w14:paraId="380666CD" w14:textId="3576592F" w:rsidR="00786D81" w:rsidRPr="00CA2F99" w:rsidRDefault="00786D81" w:rsidP="007C4B5E">
      <w:pPr>
        <w:pStyle w:val="TableMainTitle"/>
        <w:spacing w:after="120"/>
        <w:rPr>
          <w:rFonts w:asciiTheme="minorHAnsi" w:hAnsiTheme="minorHAnsi"/>
          <w:sz w:val="22"/>
          <w:szCs w:val="22"/>
        </w:rPr>
      </w:pPr>
      <w:r w:rsidRPr="00CA2F99">
        <w:rPr>
          <w:sz w:val="22"/>
          <w:szCs w:val="22"/>
        </w:rPr>
        <w:t xml:space="preserve">Table </w:t>
      </w:r>
      <w:r w:rsidR="000D06CE" w:rsidRPr="00CA2F99">
        <w:rPr>
          <w:sz w:val="22"/>
          <w:szCs w:val="22"/>
        </w:rPr>
        <w:t>2</w:t>
      </w:r>
      <w:r w:rsidRPr="00CA2F99">
        <w:rPr>
          <w:sz w:val="22"/>
          <w:szCs w:val="22"/>
        </w:rPr>
        <w:t>: Management procedures: history and review schedule.</w:t>
      </w:r>
    </w:p>
    <w:tbl>
      <w:tblPr>
        <w:tblW w:w="4834" w:type="pct"/>
        <w:tblBorders>
          <w:top w:val="single" w:sz="4" w:space="0" w:color="auto"/>
          <w:bottom w:val="single" w:sz="4" w:space="0" w:color="auto"/>
          <w:insideH w:val="single" w:sz="4" w:space="0" w:color="auto"/>
        </w:tblBorders>
        <w:tblLook w:val="01E0" w:firstRow="1" w:lastRow="1" w:firstColumn="1" w:lastColumn="1" w:noHBand="0" w:noVBand="0"/>
      </w:tblPr>
      <w:tblGrid>
        <w:gridCol w:w="3992"/>
        <w:gridCol w:w="789"/>
        <w:gridCol w:w="789"/>
        <w:gridCol w:w="789"/>
        <w:gridCol w:w="789"/>
        <w:gridCol w:w="789"/>
        <w:gridCol w:w="789"/>
      </w:tblGrid>
      <w:tr w:rsidR="000D06CE" w:rsidRPr="00967BE4" w14:paraId="46DE2153" w14:textId="77777777" w:rsidTr="006B0C03">
        <w:trPr>
          <w:trHeight w:val="145"/>
          <w:tblHeader/>
        </w:trPr>
        <w:tc>
          <w:tcPr>
            <w:tcW w:w="2288" w:type="pct"/>
            <w:shd w:val="clear" w:color="auto" w:fill="auto"/>
            <w:vAlign w:val="center"/>
          </w:tcPr>
          <w:p w14:paraId="68A28749" w14:textId="77777777" w:rsidR="000D06CE" w:rsidRPr="00967BE4" w:rsidRDefault="000D06CE" w:rsidP="00157BE9">
            <w:pPr>
              <w:pStyle w:val="TableColumnHeadingscentred"/>
              <w:spacing w:before="40" w:after="40"/>
              <w:rPr>
                <w:bCs/>
              </w:rPr>
            </w:pPr>
          </w:p>
        </w:tc>
        <w:tc>
          <w:tcPr>
            <w:tcW w:w="452" w:type="pct"/>
            <w:vAlign w:val="center"/>
          </w:tcPr>
          <w:p w14:paraId="3E2CD9EE" w14:textId="77777777" w:rsidR="000D06CE" w:rsidRPr="00967BE4" w:rsidRDefault="000D06CE" w:rsidP="00157BE9">
            <w:pPr>
              <w:keepNext/>
              <w:keepLines/>
              <w:spacing w:before="40" w:after="40"/>
              <w:contextualSpacing w:val="0"/>
              <w:jc w:val="center"/>
              <w:rPr>
                <w:rFonts w:ascii="Arial Narrow" w:hAnsi="Arial Narrow"/>
                <w:b/>
                <w:sz w:val="20"/>
              </w:rPr>
            </w:pPr>
            <w:r w:rsidRPr="00967BE4">
              <w:rPr>
                <w:rFonts w:ascii="Arial Narrow" w:hAnsi="Arial Narrow"/>
                <w:b/>
                <w:sz w:val="20"/>
              </w:rPr>
              <w:t>CRA 1</w:t>
            </w:r>
          </w:p>
        </w:tc>
        <w:tc>
          <w:tcPr>
            <w:tcW w:w="452" w:type="pct"/>
            <w:shd w:val="clear" w:color="auto" w:fill="auto"/>
            <w:vAlign w:val="center"/>
          </w:tcPr>
          <w:p w14:paraId="02F83971" w14:textId="77777777" w:rsidR="000D06CE" w:rsidRPr="00967BE4" w:rsidRDefault="000D06CE" w:rsidP="00157BE9">
            <w:pPr>
              <w:keepNext/>
              <w:keepLines/>
              <w:spacing w:before="40" w:after="40"/>
              <w:contextualSpacing w:val="0"/>
              <w:jc w:val="center"/>
              <w:rPr>
                <w:rFonts w:ascii="Arial Narrow" w:hAnsi="Arial Narrow"/>
                <w:b/>
                <w:sz w:val="20"/>
              </w:rPr>
            </w:pPr>
            <w:r w:rsidRPr="00967BE4">
              <w:rPr>
                <w:rFonts w:ascii="Arial Narrow" w:hAnsi="Arial Narrow"/>
                <w:b/>
                <w:sz w:val="20"/>
              </w:rPr>
              <w:t>CRA 3</w:t>
            </w:r>
          </w:p>
        </w:tc>
        <w:tc>
          <w:tcPr>
            <w:tcW w:w="452" w:type="pct"/>
            <w:shd w:val="clear" w:color="auto" w:fill="auto"/>
            <w:vAlign w:val="center"/>
          </w:tcPr>
          <w:p w14:paraId="07C062C5" w14:textId="77777777" w:rsidR="000D06CE" w:rsidRPr="00967BE4" w:rsidRDefault="000D06CE" w:rsidP="00157BE9">
            <w:pPr>
              <w:keepNext/>
              <w:keepLines/>
              <w:spacing w:before="40" w:after="40"/>
              <w:contextualSpacing w:val="0"/>
              <w:jc w:val="center"/>
              <w:rPr>
                <w:rFonts w:ascii="Arial Narrow" w:hAnsi="Arial Narrow"/>
                <w:b/>
                <w:sz w:val="20"/>
              </w:rPr>
            </w:pPr>
            <w:r w:rsidRPr="00967BE4">
              <w:rPr>
                <w:rFonts w:ascii="Arial Narrow" w:hAnsi="Arial Narrow"/>
                <w:b/>
                <w:sz w:val="20"/>
              </w:rPr>
              <w:t>CRA 4</w:t>
            </w:r>
          </w:p>
        </w:tc>
        <w:tc>
          <w:tcPr>
            <w:tcW w:w="452" w:type="pct"/>
            <w:shd w:val="clear" w:color="auto" w:fill="auto"/>
            <w:vAlign w:val="center"/>
          </w:tcPr>
          <w:p w14:paraId="7A99D451" w14:textId="77777777" w:rsidR="000D06CE" w:rsidRPr="00967BE4" w:rsidRDefault="000D06CE" w:rsidP="00157BE9">
            <w:pPr>
              <w:keepNext/>
              <w:keepLines/>
              <w:spacing w:before="40" w:after="40"/>
              <w:contextualSpacing w:val="0"/>
              <w:jc w:val="center"/>
              <w:rPr>
                <w:rFonts w:ascii="Arial Narrow" w:hAnsi="Arial Narrow"/>
                <w:b/>
                <w:sz w:val="20"/>
              </w:rPr>
            </w:pPr>
            <w:r w:rsidRPr="00967BE4">
              <w:rPr>
                <w:rFonts w:ascii="Arial Narrow" w:hAnsi="Arial Narrow"/>
                <w:b/>
                <w:sz w:val="20"/>
              </w:rPr>
              <w:t>CRA 5</w:t>
            </w:r>
          </w:p>
        </w:tc>
        <w:tc>
          <w:tcPr>
            <w:tcW w:w="452" w:type="pct"/>
            <w:shd w:val="clear" w:color="auto" w:fill="auto"/>
            <w:vAlign w:val="center"/>
          </w:tcPr>
          <w:p w14:paraId="7A731376" w14:textId="77777777" w:rsidR="000D06CE" w:rsidRPr="00967BE4" w:rsidRDefault="000D06CE" w:rsidP="00157BE9">
            <w:pPr>
              <w:keepNext/>
              <w:keepLines/>
              <w:spacing w:before="40" w:after="40"/>
              <w:contextualSpacing w:val="0"/>
              <w:jc w:val="center"/>
              <w:rPr>
                <w:rFonts w:ascii="Arial Narrow" w:hAnsi="Arial Narrow"/>
                <w:b/>
                <w:sz w:val="20"/>
              </w:rPr>
            </w:pPr>
            <w:r w:rsidRPr="00967BE4">
              <w:rPr>
                <w:rFonts w:ascii="Arial Narrow" w:hAnsi="Arial Narrow"/>
                <w:b/>
                <w:sz w:val="20"/>
              </w:rPr>
              <w:t>CRA 7</w:t>
            </w:r>
          </w:p>
        </w:tc>
        <w:tc>
          <w:tcPr>
            <w:tcW w:w="452" w:type="pct"/>
            <w:shd w:val="clear" w:color="auto" w:fill="auto"/>
            <w:vAlign w:val="center"/>
          </w:tcPr>
          <w:p w14:paraId="2BBE8417" w14:textId="77777777" w:rsidR="000D06CE" w:rsidRPr="00967BE4" w:rsidRDefault="000D06CE" w:rsidP="00157BE9">
            <w:pPr>
              <w:keepNext/>
              <w:keepLines/>
              <w:spacing w:before="40" w:after="40"/>
              <w:contextualSpacing w:val="0"/>
              <w:jc w:val="center"/>
              <w:rPr>
                <w:rFonts w:ascii="Arial Narrow" w:hAnsi="Arial Narrow"/>
                <w:b/>
                <w:sz w:val="20"/>
              </w:rPr>
            </w:pPr>
            <w:r w:rsidRPr="00967BE4">
              <w:rPr>
                <w:rFonts w:ascii="Arial Narrow" w:hAnsi="Arial Narrow"/>
                <w:b/>
                <w:sz w:val="20"/>
              </w:rPr>
              <w:t>CRA 8</w:t>
            </w:r>
          </w:p>
        </w:tc>
      </w:tr>
      <w:tr w:rsidR="000D06CE" w:rsidRPr="00967BE4" w14:paraId="00F0B31E" w14:textId="77777777" w:rsidTr="006B0C03">
        <w:trPr>
          <w:trHeight w:val="548"/>
        </w:trPr>
        <w:tc>
          <w:tcPr>
            <w:tcW w:w="2288" w:type="pct"/>
            <w:shd w:val="clear" w:color="auto" w:fill="auto"/>
            <w:vAlign w:val="center"/>
          </w:tcPr>
          <w:p w14:paraId="52B1451E" w14:textId="77777777" w:rsidR="000D06CE" w:rsidRPr="00967BE4" w:rsidRDefault="000D06CE" w:rsidP="00157BE9">
            <w:pPr>
              <w:pStyle w:val="TablesText"/>
              <w:spacing w:before="40" w:after="40"/>
            </w:pPr>
            <w:r>
              <w:t>Y</w:t>
            </w:r>
            <w:r w:rsidRPr="00967BE4">
              <w:t xml:space="preserve">ear current management </w:t>
            </w:r>
            <w:r>
              <w:t>procedure commenced</w:t>
            </w:r>
          </w:p>
        </w:tc>
        <w:tc>
          <w:tcPr>
            <w:tcW w:w="452" w:type="pct"/>
            <w:vAlign w:val="center"/>
          </w:tcPr>
          <w:p w14:paraId="75B5732D" w14:textId="77777777" w:rsidR="000D06CE" w:rsidRPr="00967BE4" w:rsidRDefault="000D06CE" w:rsidP="00157BE9">
            <w:pPr>
              <w:pStyle w:val="TablesText"/>
              <w:spacing w:before="40" w:after="40"/>
              <w:jc w:val="center"/>
              <w:rPr>
                <w:bCs/>
              </w:rPr>
            </w:pPr>
            <w:r w:rsidRPr="00967BE4">
              <w:rPr>
                <w:bCs/>
              </w:rPr>
              <w:t>2015</w:t>
            </w:r>
          </w:p>
        </w:tc>
        <w:tc>
          <w:tcPr>
            <w:tcW w:w="452" w:type="pct"/>
            <w:shd w:val="clear" w:color="auto" w:fill="auto"/>
            <w:vAlign w:val="center"/>
          </w:tcPr>
          <w:p w14:paraId="0C00397F" w14:textId="162E033E" w:rsidR="000D06CE" w:rsidRPr="00967BE4" w:rsidRDefault="000D06CE" w:rsidP="00157BE9">
            <w:pPr>
              <w:pStyle w:val="TablesText"/>
              <w:spacing w:before="40" w:after="40"/>
              <w:jc w:val="center"/>
              <w:rPr>
                <w:bCs/>
              </w:rPr>
            </w:pPr>
            <w:r w:rsidRPr="00967BE4">
              <w:rPr>
                <w:bCs/>
              </w:rPr>
              <w:t>2015</w:t>
            </w:r>
          </w:p>
        </w:tc>
        <w:tc>
          <w:tcPr>
            <w:tcW w:w="452" w:type="pct"/>
            <w:shd w:val="clear" w:color="auto" w:fill="auto"/>
            <w:vAlign w:val="center"/>
          </w:tcPr>
          <w:p w14:paraId="7FAA6DD6" w14:textId="77777777" w:rsidR="000D06CE" w:rsidRPr="002000A7" w:rsidRDefault="000D06CE" w:rsidP="00157BE9">
            <w:pPr>
              <w:pStyle w:val="TablesText"/>
              <w:spacing w:before="40" w:after="40"/>
              <w:jc w:val="center"/>
              <w:rPr>
                <w:bCs/>
              </w:rPr>
            </w:pPr>
            <w:r w:rsidRPr="002000A7">
              <w:rPr>
                <w:bCs/>
              </w:rPr>
              <w:t>201</w:t>
            </w:r>
            <w:r>
              <w:rPr>
                <w:bCs/>
              </w:rPr>
              <w:t>7</w:t>
            </w:r>
          </w:p>
        </w:tc>
        <w:tc>
          <w:tcPr>
            <w:tcW w:w="452" w:type="pct"/>
            <w:shd w:val="clear" w:color="auto" w:fill="auto"/>
            <w:vAlign w:val="center"/>
          </w:tcPr>
          <w:p w14:paraId="4844AD7E" w14:textId="77777777" w:rsidR="000D06CE" w:rsidRPr="00967BE4" w:rsidRDefault="000D06CE" w:rsidP="00157BE9">
            <w:pPr>
              <w:pStyle w:val="TablesText"/>
              <w:spacing w:before="40" w:after="40"/>
              <w:jc w:val="center"/>
              <w:rPr>
                <w:bCs/>
              </w:rPr>
            </w:pPr>
            <w:r w:rsidRPr="00967BE4">
              <w:rPr>
                <w:bCs/>
              </w:rPr>
              <w:t>201</w:t>
            </w:r>
            <w:r>
              <w:rPr>
                <w:bCs/>
              </w:rPr>
              <w:t>6</w:t>
            </w:r>
          </w:p>
        </w:tc>
        <w:tc>
          <w:tcPr>
            <w:tcW w:w="452" w:type="pct"/>
            <w:shd w:val="clear" w:color="auto" w:fill="auto"/>
            <w:vAlign w:val="center"/>
          </w:tcPr>
          <w:p w14:paraId="0DC09344" w14:textId="77777777" w:rsidR="000D06CE" w:rsidRPr="00967BE4" w:rsidRDefault="000D06CE" w:rsidP="00157BE9">
            <w:pPr>
              <w:pStyle w:val="TablesText"/>
              <w:spacing w:before="40" w:after="40"/>
              <w:jc w:val="center"/>
              <w:rPr>
                <w:bCs/>
              </w:rPr>
            </w:pPr>
            <w:r>
              <w:rPr>
                <w:bCs/>
              </w:rPr>
              <w:t>2013</w:t>
            </w:r>
          </w:p>
        </w:tc>
        <w:tc>
          <w:tcPr>
            <w:tcW w:w="452" w:type="pct"/>
            <w:shd w:val="clear" w:color="auto" w:fill="auto"/>
            <w:vAlign w:val="center"/>
          </w:tcPr>
          <w:p w14:paraId="2FDE5F09" w14:textId="1641AA49" w:rsidR="000D06CE" w:rsidRPr="00967BE4" w:rsidRDefault="000D06CE" w:rsidP="00157BE9">
            <w:pPr>
              <w:pStyle w:val="TablesText"/>
              <w:spacing w:before="40" w:after="40"/>
              <w:jc w:val="center"/>
              <w:rPr>
                <w:bCs/>
              </w:rPr>
            </w:pPr>
            <w:r w:rsidRPr="00967BE4">
              <w:rPr>
                <w:bCs/>
              </w:rPr>
              <w:t>2</w:t>
            </w:r>
            <w:r>
              <w:rPr>
                <w:bCs/>
              </w:rPr>
              <w:t>016</w:t>
            </w:r>
          </w:p>
        </w:tc>
      </w:tr>
      <w:tr w:rsidR="000D06CE" w:rsidRPr="00DE0EB6" w14:paraId="0AC8467F" w14:textId="77777777" w:rsidTr="006B0C03">
        <w:trPr>
          <w:trHeight w:val="548"/>
        </w:trPr>
        <w:tc>
          <w:tcPr>
            <w:tcW w:w="2288" w:type="pct"/>
            <w:vAlign w:val="center"/>
          </w:tcPr>
          <w:p w14:paraId="2D142705" w14:textId="77777777" w:rsidR="000D06CE" w:rsidRPr="00967BE4" w:rsidRDefault="000D06CE" w:rsidP="00157BE9">
            <w:pPr>
              <w:pStyle w:val="TablesText"/>
              <w:spacing w:before="40" w:after="40"/>
            </w:pPr>
            <w:r w:rsidRPr="00967BE4">
              <w:t>Year of scheduled review</w:t>
            </w:r>
          </w:p>
        </w:tc>
        <w:tc>
          <w:tcPr>
            <w:tcW w:w="452" w:type="pct"/>
            <w:vAlign w:val="center"/>
          </w:tcPr>
          <w:p w14:paraId="7929A93B" w14:textId="77777777" w:rsidR="000D06CE" w:rsidRPr="00967BE4" w:rsidRDefault="000D06CE" w:rsidP="00157BE9">
            <w:pPr>
              <w:pStyle w:val="TablesText"/>
              <w:spacing w:before="40" w:after="40"/>
              <w:jc w:val="center"/>
              <w:rPr>
                <w:bCs/>
              </w:rPr>
            </w:pPr>
            <w:r w:rsidRPr="00967BE4">
              <w:rPr>
                <w:bCs/>
              </w:rPr>
              <w:t>2019</w:t>
            </w:r>
          </w:p>
        </w:tc>
        <w:tc>
          <w:tcPr>
            <w:tcW w:w="452" w:type="pct"/>
            <w:vAlign w:val="center"/>
          </w:tcPr>
          <w:p w14:paraId="2835D4FC" w14:textId="77777777" w:rsidR="000D06CE" w:rsidRPr="00967BE4" w:rsidRDefault="000D06CE" w:rsidP="00157BE9">
            <w:pPr>
              <w:pStyle w:val="TablesText"/>
              <w:spacing w:before="40" w:after="40"/>
              <w:jc w:val="center"/>
              <w:rPr>
                <w:bCs/>
              </w:rPr>
            </w:pPr>
            <w:r w:rsidRPr="00967BE4">
              <w:rPr>
                <w:bCs/>
              </w:rPr>
              <w:t>2019</w:t>
            </w:r>
          </w:p>
        </w:tc>
        <w:tc>
          <w:tcPr>
            <w:tcW w:w="452" w:type="pct"/>
            <w:vAlign w:val="center"/>
          </w:tcPr>
          <w:p w14:paraId="343896D2" w14:textId="77777777" w:rsidR="000D06CE" w:rsidRPr="002000A7" w:rsidRDefault="000D06CE" w:rsidP="00157BE9">
            <w:pPr>
              <w:pStyle w:val="TablesText"/>
              <w:spacing w:before="40" w:after="40"/>
              <w:jc w:val="center"/>
              <w:rPr>
                <w:bCs/>
              </w:rPr>
            </w:pPr>
            <w:r w:rsidRPr="002000A7">
              <w:rPr>
                <w:bCs/>
              </w:rPr>
              <w:t>202</w:t>
            </w:r>
            <w:r>
              <w:rPr>
                <w:bCs/>
              </w:rPr>
              <w:t>1</w:t>
            </w:r>
          </w:p>
        </w:tc>
        <w:tc>
          <w:tcPr>
            <w:tcW w:w="452" w:type="pct"/>
            <w:vAlign w:val="center"/>
          </w:tcPr>
          <w:p w14:paraId="79FED6DE" w14:textId="77777777" w:rsidR="000D06CE" w:rsidRPr="00967BE4" w:rsidRDefault="000D06CE" w:rsidP="00157BE9">
            <w:pPr>
              <w:pStyle w:val="TablesText"/>
              <w:spacing w:before="40" w:after="40"/>
              <w:jc w:val="center"/>
              <w:rPr>
                <w:bCs/>
              </w:rPr>
            </w:pPr>
            <w:r w:rsidRPr="00967BE4">
              <w:rPr>
                <w:bCs/>
              </w:rPr>
              <w:t>20</w:t>
            </w:r>
            <w:r>
              <w:rPr>
                <w:bCs/>
              </w:rPr>
              <w:t>20</w:t>
            </w:r>
          </w:p>
        </w:tc>
        <w:tc>
          <w:tcPr>
            <w:tcW w:w="452" w:type="pct"/>
            <w:vAlign w:val="center"/>
          </w:tcPr>
          <w:p w14:paraId="40860805" w14:textId="77777777" w:rsidR="000D06CE" w:rsidRPr="00967BE4" w:rsidRDefault="000D06CE" w:rsidP="00157BE9">
            <w:pPr>
              <w:pStyle w:val="TablesText"/>
              <w:spacing w:before="40" w:after="40"/>
              <w:jc w:val="center"/>
              <w:rPr>
                <w:bCs/>
              </w:rPr>
            </w:pPr>
            <w:r>
              <w:rPr>
                <w:bCs/>
              </w:rPr>
              <w:t>2020</w:t>
            </w:r>
            <w:r w:rsidRPr="00A4655A">
              <w:rPr>
                <w:rStyle w:val="FootnoteReference"/>
                <w:rFonts w:eastAsiaTheme="majorEastAsia"/>
                <w:bCs/>
              </w:rPr>
              <w:footnoteReference w:id="3"/>
            </w:r>
          </w:p>
        </w:tc>
        <w:tc>
          <w:tcPr>
            <w:tcW w:w="452" w:type="pct"/>
            <w:vAlign w:val="center"/>
          </w:tcPr>
          <w:p w14:paraId="70EE8DF1" w14:textId="77777777" w:rsidR="000D06CE" w:rsidRPr="00967BE4" w:rsidRDefault="000D06CE" w:rsidP="00157BE9">
            <w:pPr>
              <w:pStyle w:val="TablesText"/>
              <w:spacing w:before="40" w:after="40"/>
              <w:jc w:val="center"/>
              <w:rPr>
                <w:bCs/>
              </w:rPr>
            </w:pPr>
            <w:r>
              <w:rPr>
                <w:bCs/>
              </w:rPr>
              <w:t>2020</w:t>
            </w:r>
          </w:p>
        </w:tc>
      </w:tr>
    </w:tbl>
    <w:p w14:paraId="40453800" w14:textId="77777777" w:rsidR="00786D81" w:rsidRDefault="00786D81" w:rsidP="00786D81">
      <w:pPr>
        <w:ind w:left="567" w:hanging="567"/>
        <w:rPr>
          <w:rFonts w:ascii="Arial" w:hAnsi="Arial" w:cs="Arial"/>
          <w:sz w:val="22"/>
          <w:szCs w:val="22"/>
        </w:rPr>
      </w:pPr>
    </w:p>
    <w:p w14:paraId="3B26AD54" w14:textId="77777777" w:rsidR="00E22B6D" w:rsidRPr="00CA2F99" w:rsidRDefault="00E22B6D" w:rsidP="00786D81">
      <w:pPr>
        <w:ind w:left="567" w:hanging="567"/>
        <w:rPr>
          <w:rFonts w:ascii="Arial" w:hAnsi="Arial" w:cs="Arial"/>
          <w:sz w:val="22"/>
          <w:szCs w:val="22"/>
        </w:rPr>
      </w:pPr>
    </w:p>
    <w:p w14:paraId="2BDA7A2B" w14:textId="30A2309C" w:rsidR="005077A8" w:rsidRDefault="00786D81" w:rsidP="005077A8">
      <w:pPr>
        <w:pStyle w:val="ListParagraph"/>
        <w:numPr>
          <w:ilvl w:val="0"/>
          <w:numId w:val="26"/>
        </w:numPr>
        <w:spacing w:after="0" w:line="240" w:lineRule="auto"/>
        <w:ind w:left="567" w:hanging="567"/>
        <w:contextualSpacing w:val="0"/>
        <w:jc w:val="left"/>
        <w:rPr>
          <w:rFonts w:ascii="Arial" w:hAnsi="Arial" w:cs="Arial"/>
        </w:rPr>
      </w:pPr>
      <w:r w:rsidRPr="005077A8">
        <w:rPr>
          <w:rFonts w:ascii="Arial" w:hAnsi="Arial" w:cs="Arial"/>
        </w:rPr>
        <w:t xml:space="preserve">Based on operation of current management procedures, changes to the status quo </w:t>
      </w:r>
      <w:r w:rsidR="00CD067B" w:rsidRPr="005077A8">
        <w:rPr>
          <w:rFonts w:ascii="Arial" w:hAnsi="Arial" w:cs="Arial"/>
        </w:rPr>
        <w:t>are proposed for the CRA 3, 4</w:t>
      </w:r>
      <w:r w:rsidRPr="005077A8">
        <w:rPr>
          <w:rFonts w:ascii="Arial" w:hAnsi="Arial" w:cs="Arial"/>
        </w:rPr>
        <w:t>, and 8 rock lobster fisheries. Operation of the CRA 1 (Northland)</w:t>
      </w:r>
      <w:r w:rsidR="00CD067B" w:rsidRPr="005077A8">
        <w:rPr>
          <w:rFonts w:ascii="Arial" w:hAnsi="Arial" w:cs="Arial"/>
        </w:rPr>
        <w:t>, CRA 7</w:t>
      </w:r>
      <w:r w:rsidRPr="005077A8">
        <w:rPr>
          <w:rFonts w:ascii="Arial" w:hAnsi="Arial" w:cs="Arial"/>
        </w:rPr>
        <w:t xml:space="preserve"> (</w:t>
      </w:r>
      <w:r w:rsidR="00CD067B" w:rsidRPr="005077A8">
        <w:rPr>
          <w:rFonts w:ascii="Arial" w:hAnsi="Arial" w:cs="Arial"/>
        </w:rPr>
        <w:t>Otago</w:t>
      </w:r>
      <w:r w:rsidRPr="005077A8">
        <w:rPr>
          <w:rFonts w:ascii="Arial" w:hAnsi="Arial" w:cs="Arial"/>
        </w:rPr>
        <w:t xml:space="preserve">), and CRA 5 (Canterbury/Marlborough) management procedures suggested that no change was needed to the management settings for these fisheries </w:t>
      </w:r>
      <w:r w:rsidR="00C8258C" w:rsidRPr="005077A8">
        <w:rPr>
          <w:rFonts w:ascii="Arial" w:hAnsi="Arial" w:cs="Arial"/>
        </w:rPr>
        <w:t>from April 2019</w:t>
      </w:r>
      <w:r w:rsidRPr="005077A8">
        <w:rPr>
          <w:rFonts w:ascii="Arial" w:hAnsi="Arial" w:cs="Arial"/>
        </w:rPr>
        <w:t>.</w:t>
      </w:r>
      <w:r w:rsidR="00C004A0" w:rsidRPr="000D06CE">
        <w:rPr>
          <w:rStyle w:val="FootnoteReference"/>
          <w:rFonts w:ascii="Arial" w:hAnsi="Arial" w:cs="Arial"/>
        </w:rPr>
        <w:footnoteReference w:id="4"/>
      </w:r>
      <w:r w:rsidR="00C55DBC" w:rsidRPr="005077A8">
        <w:rPr>
          <w:rFonts w:ascii="Arial" w:hAnsi="Arial" w:cs="Arial"/>
        </w:rPr>
        <w:t xml:space="preserve"> </w:t>
      </w:r>
    </w:p>
    <w:p w14:paraId="7581E4E5" w14:textId="77777777" w:rsidR="002C54A7" w:rsidRDefault="002C54A7" w:rsidP="002C54A7">
      <w:pPr>
        <w:pStyle w:val="ListParagraph"/>
        <w:spacing w:after="0" w:line="240" w:lineRule="auto"/>
        <w:ind w:left="567"/>
        <w:contextualSpacing w:val="0"/>
        <w:jc w:val="left"/>
        <w:rPr>
          <w:rFonts w:ascii="Arial" w:hAnsi="Arial" w:cs="Arial"/>
        </w:rPr>
      </w:pPr>
    </w:p>
    <w:p w14:paraId="2F6D549C" w14:textId="27BFB89C" w:rsidR="005077A8" w:rsidRDefault="005077A8" w:rsidP="005077A8">
      <w:pPr>
        <w:pStyle w:val="ListParagraph"/>
        <w:spacing w:after="0" w:line="240" w:lineRule="auto"/>
        <w:ind w:left="567"/>
        <w:contextualSpacing w:val="0"/>
        <w:jc w:val="left"/>
        <w:rPr>
          <w:rFonts w:ascii="Arial" w:hAnsi="Arial" w:cs="Arial"/>
        </w:rPr>
      </w:pPr>
    </w:p>
    <w:p w14:paraId="26DD2987" w14:textId="011A0614" w:rsidR="002C54A7" w:rsidRDefault="002C54A7" w:rsidP="002C54A7">
      <w:pPr>
        <w:pStyle w:val="ListParagraph"/>
        <w:spacing w:after="0" w:line="240" w:lineRule="auto"/>
        <w:ind w:left="567"/>
        <w:contextualSpacing w:val="0"/>
        <w:jc w:val="left"/>
        <w:rPr>
          <w:rFonts w:ascii="Arial" w:hAnsi="Arial" w:cs="Arial"/>
        </w:rPr>
      </w:pPr>
      <w:r w:rsidRPr="00390F23">
        <w:rPr>
          <w:noProof/>
          <w:lang w:eastAsia="en-NZ"/>
        </w:rPr>
        <mc:AlternateContent>
          <mc:Choice Requires="wps">
            <w:drawing>
              <wp:anchor distT="45720" distB="45720" distL="114300" distR="114300" simplePos="0" relativeHeight="251667456" behindDoc="0" locked="0" layoutInCell="1" allowOverlap="1" wp14:anchorId="676CC860" wp14:editId="7CA2F9F6">
                <wp:simplePos x="0" y="0"/>
                <wp:positionH relativeFrom="margin">
                  <wp:align>right</wp:align>
                </wp:positionH>
                <wp:positionV relativeFrom="paragraph">
                  <wp:posOffset>339090</wp:posOffset>
                </wp:positionV>
                <wp:extent cx="5266055" cy="715010"/>
                <wp:effectExtent l="76200" t="76200" r="86995" b="10414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715010"/>
                        </a:xfrm>
                        <a:prstGeom prst="roundRect">
                          <a:avLst/>
                        </a:prstGeom>
                        <a:solidFill>
                          <a:srgbClr val="FFFFFF"/>
                        </a:solidFill>
                        <a:ln w="19050">
                          <a:solidFill>
                            <a:srgbClr val="000000"/>
                          </a:solidFill>
                          <a:miter lim="800000"/>
                          <a:headEnd/>
                          <a:tailEnd/>
                        </a:ln>
                        <a:effectLst>
                          <a:glow rad="63500">
                            <a:schemeClr val="tx1">
                              <a:alpha val="40000"/>
                            </a:schemeClr>
                          </a:glow>
                        </a:effectLst>
                      </wps:spPr>
                      <wps:txbx>
                        <w:txbxContent>
                          <w:p w14:paraId="66A68049" w14:textId="77777777" w:rsidR="002C54A7" w:rsidRPr="00733BCF" w:rsidRDefault="002C54A7" w:rsidP="002C54A7">
                            <w:pPr>
                              <w:spacing w:after="120"/>
                              <w:contextualSpacing w:val="0"/>
                              <w:rPr>
                                <w:rFonts w:ascii="Arial Narrow" w:hAnsi="Arial Narrow"/>
                                <w:b/>
                                <w:szCs w:val="24"/>
                              </w:rPr>
                            </w:pPr>
                            <w:r w:rsidRPr="00733BCF">
                              <w:rPr>
                                <w:rFonts w:ascii="Arial Narrow" w:hAnsi="Arial Narrow"/>
                                <w:b/>
                                <w:szCs w:val="24"/>
                                <w:u w:val="single"/>
                              </w:rPr>
                              <w:t>Discussion question:</w:t>
                            </w:r>
                            <w:r w:rsidRPr="00733BCF">
                              <w:rPr>
                                <w:rFonts w:ascii="Arial Narrow" w:hAnsi="Arial Narrow"/>
                                <w:b/>
                                <w:szCs w:val="24"/>
                              </w:rPr>
                              <w:t xml:space="preserve"> </w:t>
                            </w:r>
                          </w:p>
                          <w:p w14:paraId="1C946D21" w14:textId="77777777" w:rsidR="002C54A7" w:rsidRPr="00733BCF" w:rsidRDefault="002C54A7" w:rsidP="002C54A7">
                            <w:pPr>
                              <w:pStyle w:val="ListParagraph"/>
                              <w:numPr>
                                <w:ilvl w:val="0"/>
                                <w:numId w:val="33"/>
                              </w:numPr>
                              <w:spacing w:after="120" w:line="240" w:lineRule="auto"/>
                              <w:ind w:left="714" w:hanging="357"/>
                              <w:contextualSpacing w:val="0"/>
                              <w:rPr>
                                <w:rFonts w:ascii="Arial Narrow" w:hAnsi="Arial Narrow"/>
                                <w:b/>
                                <w:sz w:val="24"/>
                                <w:szCs w:val="24"/>
                              </w:rPr>
                            </w:pPr>
                            <w:r w:rsidRPr="00733BCF">
                              <w:rPr>
                                <w:rFonts w:ascii="Arial Narrow" w:hAnsi="Arial Narrow"/>
                                <w:b/>
                                <w:sz w:val="24"/>
                                <w:szCs w:val="24"/>
                              </w:rPr>
                              <w:t>Do you agree with the need for change?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6CC860" id="Text Box 18" o:spid="_x0000_s1026" style="position:absolute;left:0;text-align:left;margin-left:363.45pt;margin-top:26.7pt;width:414.65pt;height:56.3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" strokeweight="1.5pt">
                <v:stroke joinstyle="miter"/>
                <v:textbox>
                  <w:txbxContent>
                    <w:p w14:paraId="66A68049" w14:textId="77777777" w:rsidR="002C54A7" w:rsidRPr="00733BCF" w:rsidRDefault="002C54A7" w:rsidP="002C54A7">
                      <w:pPr>
                        <w:spacing w:after="120"/>
                        <w:contextualSpacing w:val="0"/>
                        <w:rPr>
                          <w:rFonts w:ascii="Arial Narrow" w:hAnsi="Arial Narrow"/>
                          <w:b/>
                          <w:szCs w:val="24"/>
                        </w:rPr>
                      </w:pPr>
                      <w:r w:rsidRPr="00733BCF">
                        <w:rPr>
                          <w:rFonts w:ascii="Arial Narrow" w:hAnsi="Arial Narrow"/>
                          <w:b/>
                          <w:szCs w:val="24"/>
                          <w:u w:val="single"/>
                        </w:rPr>
                        <w:t>Discussion question:</w:t>
                      </w:r>
                      <w:r w:rsidRPr="00733BCF">
                        <w:rPr>
                          <w:rFonts w:ascii="Arial Narrow" w:hAnsi="Arial Narrow"/>
                          <w:b/>
                          <w:szCs w:val="24"/>
                        </w:rPr>
                        <w:t xml:space="preserve"> </w:t>
                      </w:r>
                    </w:p>
                    <w:p w14:paraId="1C946D21" w14:textId="77777777" w:rsidR="002C54A7" w:rsidRPr="00733BCF" w:rsidRDefault="002C54A7" w:rsidP="002C54A7">
                      <w:pPr>
                        <w:pStyle w:val="ListParagraph"/>
                        <w:numPr>
                          <w:ilvl w:val="0"/>
                          <w:numId w:val="33"/>
                        </w:numPr>
                        <w:spacing w:after="120" w:line="240" w:lineRule="auto"/>
                        <w:ind w:left="714" w:hanging="357"/>
                        <w:contextualSpacing w:val="0"/>
                        <w:rPr>
                          <w:rFonts w:ascii="Arial Narrow" w:hAnsi="Arial Narrow"/>
                          <w:b/>
                          <w:sz w:val="24"/>
                          <w:szCs w:val="24"/>
                        </w:rPr>
                      </w:pPr>
                      <w:r w:rsidRPr="00733BCF">
                        <w:rPr>
                          <w:rFonts w:ascii="Arial Narrow" w:hAnsi="Arial Narrow"/>
                          <w:b/>
                          <w:sz w:val="24"/>
                          <w:szCs w:val="24"/>
                        </w:rPr>
                        <w:t>Do you agree with the need for change?</w:t>
                      </w:r>
                    </w:p>
                  </w:txbxContent>
                </v:textbox>
                <w10:wrap type="square" anchorx="margin"/>
              </v:roundrect>
            </w:pict>
          </mc:Fallback>
        </mc:AlternateContent>
      </w:r>
    </w:p>
    <w:p w14:paraId="3FD8F300" w14:textId="77777777" w:rsidR="002C54A7" w:rsidRDefault="002C54A7">
      <w:pPr>
        <w:spacing w:after="160" w:line="259" w:lineRule="auto"/>
        <w:contextualSpacing w:val="0"/>
        <w:rPr>
          <w:rFonts w:ascii="Arial" w:hAnsi="Arial" w:cs="Arial"/>
          <w:sz w:val="22"/>
          <w:szCs w:val="22"/>
        </w:rPr>
      </w:pPr>
      <w:r>
        <w:rPr>
          <w:rFonts w:ascii="Arial" w:hAnsi="Arial" w:cs="Arial"/>
        </w:rPr>
        <w:br w:type="page"/>
      </w:r>
    </w:p>
    <w:p w14:paraId="7A91452E" w14:textId="0D8EF1A5" w:rsidR="00613F67" w:rsidRDefault="002C54A7" w:rsidP="005077A8">
      <w:pPr>
        <w:pStyle w:val="ListParagraph"/>
        <w:numPr>
          <w:ilvl w:val="0"/>
          <w:numId w:val="26"/>
        </w:numPr>
        <w:spacing w:after="0" w:line="240" w:lineRule="auto"/>
        <w:ind w:left="567" w:hanging="567"/>
        <w:contextualSpacing w:val="0"/>
        <w:jc w:val="left"/>
        <w:rPr>
          <w:rFonts w:ascii="Arial" w:hAnsi="Arial" w:cs="Arial"/>
        </w:rPr>
      </w:pPr>
      <w:r>
        <w:rPr>
          <w:rFonts w:ascii="Arial" w:hAnsi="Arial" w:cs="Arial"/>
        </w:rPr>
        <w:lastRenderedPageBreak/>
        <w:t xml:space="preserve">There is </w:t>
      </w:r>
      <w:r w:rsidR="00C55DBC" w:rsidRPr="005077A8">
        <w:rPr>
          <w:rFonts w:ascii="Arial" w:hAnsi="Arial" w:cs="Arial"/>
        </w:rPr>
        <w:t xml:space="preserve">no new information to suggest that changes to the catch settings are needed for the CRA 2 (Hauraki Gulf/Bay of Plenty), and CRA 9 (Taranaki/Westland) fisheries. </w:t>
      </w:r>
      <w:r w:rsidR="00613F67">
        <w:rPr>
          <w:rFonts w:ascii="Arial" w:hAnsi="Arial" w:cs="Arial"/>
        </w:rPr>
        <w:t xml:space="preserve">A new stock assessment was completed for CRA 6 (Chatham Islands) in 2018, </w:t>
      </w:r>
      <w:r w:rsidR="00EB7920">
        <w:rPr>
          <w:rFonts w:ascii="Arial" w:hAnsi="Arial" w:cs="Arial"/>
        </w:rPr>
        <w:t>which</w:t>
      </w:r>
      <w:r w:rsidR="00613F67">
        <w:rPr>
          <w:rFonts w:ascii="Arial" w:hAnsi="Arial" w:cs="Arial"/>
        </w:rPr>
        <w:t xml:space="preserve"> </w:t>
      </w:r>
      <w:r w:rsidR="00AB6EC9">
        <w:rPr>
          <w:rFonts w:ascii="Arial" w:hAnsi="Arial" w:cs="Arial"/>
        </w:rPr>
        <w:t>suggested that there were no sustainability concerns for the stock, and that no</w:t>
      </w:r>
      <w:r w:rsidR="00613F67">
        <w:rPr>
          <w:rFonts w:ascii="Arial" w:hAnsi="Arial" w:cs="Arial"/>
        </w:rPr>
        <w:t xml:space="preserve"> changes</w:t>
      </w:r>
      <w:r w:rsidR="00AB6EC9">
        <w:rPr>
          <w:rFonts w:ascii="Arial" w:hAnsi="Arial" w:cs="Arial"/>
        </w:rPr>
        <w:t xml:space="preserve"> were requ</w:t>
      </w:r>
      <w:r w:rsidR="005767FD">
        <w:rPr>
          <w:rFonts w:ascii="Arial" w:hAnsi="Arial" w:cs="Arial"/>
        </w:rPr>
        <w:t>ired to current catch settings.</w:t>
      </w:r>
    </w:p>
    <w:p w14:paraId="0BC7C1CB" w14:textId="37A36A30" w:rsidR="002C54A7" w:rsidRDefault="002C54A7" w:rsidP="002C54A7">
      <w:pPr>
        <w:contextualSpacing w:val="0"/>
        <w:rPr>
          <w:rFonts w:ascii="Arial" w:hAnsi="Arial" w:cs="Arial"/>
          <w:sz w:val="22"/>
          <w:szCs w:val="22"/>
        </w:rPr>
      </w:pPr>
    </w:p>
    <w:p w14:paraId="6764224B" w14:textId="37A36A30" w:rsidR="00D53AFA" w:rsidRPr="00D53AFA" w:rsidRDefault="00C55DBC" w:rsidP="0095021F">
      <w:pPr>
        <w:pStyle w:val="ListParagraph"/>
        <w:numPr>
          <w:ilvl w:val="0"/>
          <w:numId w:val="26"/>
        </w:numPr>
        <w:spacing w:after="0" w:line="240" w:lineRule="auto"/>
        <w:ind w:left="567" w:hanging="567"/>
        <w:contextualSpacing w:val="0"/>
        <w:jc w:val="left"/>
      </w:pPr>
      <w:r w:rsidRPr="00A633F8">
        <w:rPr>
          <w:rFonts w:ascii="Arial" w:hAnsi="Arial" w:cs="Arial"/>
        </w:rPr>
        <w:t>A rebuilding strategy is currently in place for the CRA 2 fishery, following substantial reductions that were made to the TACC (down from 200 to 80 tonnes), and the recreational allowance (down from 140 to 34 tonnes)</w:t>
      </w:r>
      <w:r w:rsidR="00B3771B" w:rsidRPr="00A633F8">
        <w:rPr>
          <w:rFonts w:ascii="Arial" w:hAnsi="Arial" w:cs="Arial"/>
        </w:rPr>
        <w:t xml:space="preserve"> from April 2018</w:t>
      </w:r>
      <w:r w:rsidRPr="00A633F8">
        <w:rPr>
          <w:rFonts w:ascii="Arial" w:hAnsi="Arial" w:cs="Arial"/>
        </w:rPr>
        <w:t>. Consultation on proposals to reduce the CRA</w:t>
      </w:r>
      <w:r w:rsidR="00B3771B" w:rsidRPr="00A633F8">
        <w:rPr>
          <w:rFonts w:ascii="Arial" w:hAnsi="Arial" w:cs="Arial"/>
        </w:rPr>
        <w:t> </w:t>
      </w:r>
      <w:r w:rsidRPr="00A633F8">
        <w:rPr>
          <w:rFonts w:ascii="Arial" w:hAnsi="Arial" w:cs="Arial"/>
        </w:rPr>
        <w:t>2 recreational bag limit from six to three spiny rock lobsters, and to introduce telson clipping for recreationally caught spiny lobsters</w:t>
      </w:r>
      <w:r w:rsidR="005767FD">
        <w:rPr>
          <w:rFonts w:ascii="Arial" w:hAnsi="Arial" w:cs="Arial"/>
        </w:rPr>
        <w:t xml:space="preserve">, </w:t>
      </w:r>
      <w:r w:rsidR="007C4B5E">
        <w:rPr>
          <w:rFonts w:ascii="Arial" w:hAnsi="Arial" w:cs="Arial"/>
        </w:rPr>
        <w:t xml:space="preserve">ends/ended </w:t>
      </w:r>
      <w:r w:rsidR="005767FD">
        <w:rPr>
          <w:rFonts w:ascii="Arial" w:hAnsi="Arial" w:cs="Arial"/>
        </w:rPr>
        <w:t>on 19 December 2018</w:t>
      </w:r>
      <w:r w:rsidRPr="00A633F8">
        <w:rPr>
          <w:rFonts w:ascii="Arial" w:hAnsi="Arial" w:cs="Arial"/>
        </w:rPr>
        <w:t xml:space="preserve">. A review of the </w:t>
      </w:r>
      <w:r w:rsidR="005767FD">
        <w:rPr>
          <w:rFonts w:ascii="Arial" w:hAnsi="Arial" w:cs="Arial"/>
        </w:rPr>
        <w:t xml:space="preserve">CRA 2 </w:t>
      </w:r>
      <w:r w:rsidR="002D0764">
        <w:rPr>
          <w:rFonts w:ascii="Arial" w:hAnsi="Arial" w:cs="Arial"/>
        </w:rPr>
        <w:t xml:space="preserve">TAC, allowances, </w:t>
      </w:r>
      <w:r w:rsidRPr="00A633F8">
        <w:rPr>
          <w:rFonts w:ascii="Arial" w:hAnsi="Arial" w:cs="Arial"/>
        </w:rPr>
        <w:t>TACC</w:t>
      </w:r>
      <w:r w:rsidR="002D0764">
        <w:rPr>
          <w:rFonts w:ascii="Arial" w:hAnsi="Arial" w:cs="Arial"/>
        </w:rPr>
        <w:t>, and other management controls</w:t>
      </w:r>
      <w:r w:rsidRPr="00A633F8">
        <w:rPr>
          <w:rFonts w:ascii="Arial" w:hAnsi="Arial" w:cs="Arial"/>
        </w:rPr>
        <w:t xml:space="preserve"> is proposed at the time of the next CRA 2 stock assessment (currently proposed for 2021).</w:t>
      </w:r>
      <w:bookmarkStart w:id="40" w:name="_Toc469576737"/>
      <w:bookmarkStart w:id="41" w:name="_Toc500855028"/>
      <w:bookmarkStart w:id="42" w:name="_Toc501013880"/>
      <w:bookmarkStart w:id="43" w:name="_Toc501526378"/>
      <w:bookmarkStart w:id="44" w:name="_Toc501698624"/>
      <w:bookmarkStart w:id="45" w:name="_Toc503362771"/>
    </w:p>
    <w:p w14:paraId="0231E54B" w14:textId="17522BA1" w:rsidR="00D53AFA" w:rsidRPr="002C54A7" w:rsidRDefault="00D53AFA" w:rsidP="002C54A7">
      <w:pPr>
        <w:contextualSpacing w:val="0"/>
        <w:rPr>
          <w:rFonts w:ascii="Arial" w:hAnsi="Arial" w:cs="Arial"/>
          <w:sz w:val="22"/>
          <w:szCs w:val="22"/>
        </w:rPr>
      </w:pPr>
    </w:p>
    <w:p w14:paraId="072CECC0" w14:textId="77777777" w:rsidR="002C54A7" w:rsidRPr="002C54A7" w:rsidRDefault="002C54A7" w:rsidP="002C54A7">
      <w:pPr>
        <w:pStyle w:val="Heading1"/>
        <w:numPr>
          <w:ilvl w:val="0"/>
          <w:numId w:val="0"/>
        </w:numPr>
        <w:spacing w:before="0" w:after="0"/>
        <w:ind w:left="567"/>
        <w:rPr>
          <w:sz w:val="22"/>
          <w:szCs w:val="22"/>
        </w:rPr>
      </w:pPr>
      <w:bookmarkStart w:id="46" w:name="_Toc531692787"/>
      <w:bookmarkStart w:id="47" w:name="_Toc532471880"/>
    </w:p>
    <w:p w14:paraId="494EF0A3" w14:textId="77777777" w:rsidR="00C004A0" w:rsidRDefault="00C004A0" w:rsidP="00B3771B">
      <w:pPr>
        <w:pStyle w:val="Heading1"/>
        <w:numPr>
          <w:ilvl w:val="0"/>
          <w:numId w:val="4"/>
        </w:numPr>
        <w:ind w:left="567" w:hanging="567"/>
      </w:pPr>
      <w:r>
        <w:t>Background Information</w:t>
      </w:r>
      <w:bookmarkEnd w:id="46"/>
      <w:bookmarkEnd w:id="47"/>
    </w:p>
    <w:p w14:paraId="747275DA" w14:textId="77777777" w:rsidR="00C004A0" w:rsidRPr="00857D97" w:rsidRDefault="00C004A0" w:rsidP="00BF40AF">
      <w:pPr>
        <w:pStyle w:val="ListParagraph"/>
        <w:numPr>
          <w:ilvl w:val="0"/>
          <w:numId w:val="26"/>
        </w:numPr>
        <w:spacing w:after="0" w:line="240" w:lineRule="auto"/>
        <w:ind w:left="567" w:hanging="567"/>
        <w:contextualSpacing w:val="0"/>
        <w:jc w:val="left"/>
        <w:rPr>
          <w:rFonts w:ascii="Arial" w:hAnsi="Arial" w:cs="Arial"/>
          <w:szCs w:val="20"/>
        </w:rPr>
      </w:pPr>
      <w:r w:rsidRPr="00857D97">
        <w:rPr>
          <w:rFonts w:ascii="Arial" w:hAnsi="Arial" w:cs="Arial"/>
          <w:szCs w:val="20"/>
        </w:rPr>
        <w:t>This section provides relevant background information on the management approach for rock lobster, stock indicators, and the Ministry for Primary Industries (MPI) Harvest Strategy Standard.</w:t>
      </w:r>
    </w:p>
    <w:p w14:paraId="662027D3" w14:textId="77777777" w:rsidR="00C004A0" w:rsidRPr="00BF40AF" w:rsidRDefault="00C004A0" w:rsidP="00BF40AF">
      <w:pPr>
        <w:pStyle w:val="ListParagraph"/>
        <w:spacing w:after="0" w:line="240" w:lineRule="auto"/>
        <w:ind w:left="567"/>
        <w:contextualSpacing w:val="0"/>
        <w:rPr>
          <w:rFonts w:ascii="Arial" w:hAnsi="Arial" w:cs="Arial"/>
        </w:rPr>
      </w:pPr>
    </w:p>
    <w:p w14:paraId="7AA4BEC3" w14:textId="77777777" w:rsidR="00C004A0" w:rsidRDefault="00C004A0" w:rsidP="00C004A0">
      <w:pPr>
        <w:pStyle w:val="Heading2"/>
      </w:pPr>
      <w:bookmarkStart w:id="48" w:name="_Toc531692788"/>
      <w:bookmarkStart w:id="49" w:name="_Toc532471881"/>
      <w:r>
        <w:t>Management Approach for Rock Lobster Stocks</w:t>
      </w:r>
      <w:bookmarkEnd w:id="48"/>
      <w:bookmarkEnd w:id="49"/>
    </w:p>
    <w:p w14:paraId="1D373B60" w14:textId="3AF514C5" w:rsidR="00C004A0" w:rsidRPr="00CA2F99" w:rsidRDefault="00C004A0" w:rsidP="00CA2F99">
      <w:pPr>
        <w:pStyle w:val="ListParagraph"/>
        <w:numPr>
          <w:ilvl w:val="0"/>
          <w:numId w:val="26"/>
        </w:numPr>
        <w:spacing w:after="0" w:line="240" w:lineRule="auto"/>
        <w:ind w:left="567" w:hanging="567"/>
        <w:contextualSpacing w:val="0"/>
        <w:jc w:val="left"/>
        <w:rPr>
          <w:rFonts w:ascii="Arial" w:hAnsi="Arial" w:cs="Arial"/>
          <w:szCs w:val="20"/>
        </w:rPr>
      </w:pPr>
      <w:r w:rsidRPr="00CA2F99">
        <w:rPr>
          <w:rFonts w:ascii="Arial" w:hAnsi="Arial" w:cs="Arial"/>
          <w:szCs w:val="20"/>
        </w:rPr>
        <w:t>The overall management approach for rock lobster fisheries is to monitor and manage them closely to provide for utilisation while ensuring sustainability. The use of responsive management procedures and regular review of rock lobster TACs is consistent with this management approach. Being able to respond to changes in rock</w:t>
      </w:r>
      <w:r w:rsidR="00DB2902" w:rsidRPr="00CA2F99">
        <w:rPr>
          <w:rFonts w:ascii="Arial" w:hAnsi="Arial" w:cs="Arial"/>
          <w:szCs w:val="20"/>
        </w:rPr>
        <w:t xml:space="preserve"> lobster abundance is important</w:t>
      </w:r>
      <w:r w:rsidRPr="00CA2F99">
        <w:rPr>
          <w:rFonts w:ascii="Arial" w:hAnsi="Arial" w:cs="Arial"/>
          <w:szCs w:val="20"/>
        </w:rPr>
        <w:t xml:space="preserve"> because rock lobster populations can fluctuate </w:t>
      </w:r>
      <w:r w:rsidR="00A72F36" w:rsidRPr="00CA2F99">
        <w:rPr>
          <w:rFonts w:ascii="Arial" w:hAnsi="Arial" w:cs="Arial"/>
          <w:szCs w:val="20"/>
        </w:rPr>
        <w:t xml:space="preserve">fairly rapidly </w:t>
      </w:r>
      <w:r w:rsidR="003B663B" w:rsidRPr="00CA2F99">
        <w:rPr>
          <w:rFonts w:ascii="Arial" w:hAnsi="Arial" w:cs="Arial"/>
          <w:szCs w:val="20"/>
        </w:rPr>
        <w:t xml:space="preserve">in response to </w:t>
      </w:r>
      <w:r w:rsidRPr="00CA2F99">
        <w:rPr>
          <w:rFonts w:ascii="Arial" w:hAnsi="Arial" w:cs="Arial"/>
          <w:szCs w:val="20"/>
        </w:rPr>
        <w:t xml:space="preserve">changes </w:t>
      </w:r>
      <w:r w:rsidR="003B663B" w:rsidRPr="00CA2F99">
        <w:rPr>
          <w:rFonts w:ascii="Arial" w:hAnsi="Arial" w:cs="Arial"/>
          <w:szCs w:val="20"/>
        </w:rPr>
        <w:t>with</w:t>
      </w:r>
      <w:r w:rsidRPr="00CA2F99">
        <w:rPr>
          <w:rFonts w:ascii="Arial" w:hAnsi="Arial" w:cs="Arial"/>
          <w:szCs w:val="20"/>
        </w:rPr>
        <w:t>in their environment.</w:t>
      </w:r>
    </w:p>
    <w:p w14:paraId="6AED8127" w14:textId="77777777" w:rsidR="00C004A0" w:rsidRPr="00CA2F99" w:rsidRDefault="00C004A0" w:rsidP="00CA2F99">
      <w:pPr>
        <w:ind w:left="567" w:hanging="567"/>
        <w:contextualSpacing w:val="0"/>
        <w:rPr>
          <w:rFonts w:ascii="Arial" w:hAnsi="Arial" w:cs="Arial"/>
          <w:sz w:val="22"/>
        </w:rPr>
      </w:pPr>
    </w:p>
    <w:p w14:paraId="3480A69C" w14:textId="0DF8E5C2" w:rsidR="00C004A0" w:rsidRPr="00CA2F99" w:rsidRDefault="002D0764" w:rsidP="00CA2F99">
      <w:pPr>
        <w:pStyle w:val="ListParagraph"/>
        <w:numPr>
          <w:ilvl w:val="0"/>
          <w:numId w:val="26"/>
        </w:numPr>
        <w:spacing w:after="0" w:line="240" w:lineRule="auto"/>
        <w:ind w:left="567" w:hanging="567"/>
        <w:contextualSpacing w:val="0"/>
        <w:jc w:val="left"/>
        <w:rPr>
          <w:rFonts w:ascii="Arial" w:hAnsi="Arial" w:cs="Arial"/>
          <w:szCs w:val="20"/>
        </w:rPr>
      </w:pPr>
      <w:r>
        <w:rPr>
          <w:rFonts w:ascii="Arial" w:hAnsi="Arial" w:cs="Arial"/>
          <w:szCs w:val="20"/>
        </w:rPr>
        <w:t>Since 1992, the</w:t>
      </w:r>
      <w:r w:rsidR="00C004A0" w:rsidRPr="00CA2F99">
        <w:rPr>
          <w:rFonts w:ascii="Arial" w:hAnsi="Arial" w:cs="Arial"/>
          <w:szCs w:val="20"/>
        </w:rPr>
        <w:t xml:space="preserve"> National Rock Lobster Management Group </w:t>
      </w:r>
      <w:r>
        <w:rPr>
          <w:rFonts w:ascii="Arial" w:hAnsi="Arial" w:cs="Arial"/>
          <w:szCs w:val="20"/>
        </w:rPr>
        <w:t xml:space="preserve">has acted as an advisor to </w:t>
      </w:r>
      <w:r w:rsidR="00C004A0" w:rsidRPr="00CA2F99">
        <w:rPr>
          <w:rFonts w:ascii="Arial" w:hAnsi="Arial" w:cs="Arial"/>
          <w:szCs w:val="20"/>
        </w:rPr>
        <w:t>Minister</w:t>
      </w:r>
      <w:r>
        <w:rPr>
          <w:rFonts w:ascii="Arial" w:hAnsi="Arial" w:cs="Arial"/>
          <w:szCs w:val="20"/>
        </w:rPr>
        <w:t>’s</w:t>
      </w:r>
      <w:r w:rsidR="00C004A0" w:rsidRPr="00CA2F99">
        <w:rPr>
          <w:rFonts w:ascii="Arial" w:hAnsi="Arial" w:cs="Arial"/>
          <w:szCs w:val="20"/>
        </w:rPr>
        <w:t xml:space="preserve"> on catch limit, regulatory and other management actions that apply specifically to rock lobster fisheries. The National Rock Lobster Management Group is a national-level, multi-stakeholder group comprising representatives of customary, recreational and commercial fishing sectors and Fisheries New Zealand.</w:t>
      </w:r>
      <w:r>
        <w:rPr>
          <w:rFonts w:ascii="Arial" w:hAnsi="Arial" w:cs="Arial"/>
          <w:szCs w:val="20"/>
        </w:rPr>
        <w:t xml:space="preserve"> It is the longest standing collaborative fisheries multi-stakeholder group in New Zealand.</w:t>
      </w:r>
    </w:p>
    <w:p w14:paraId="468488CF" w14:textId="77777777" w:rsidR="00C004A0" w:rsidRPr="00CA2F99" w:rsidRDefault="00C004A0" w:rsidP="00CA2F99">
      <w:pPr>
        <w:ind w:left="567" w:hanging="567"/>
        <w:contextualSpacing w:val="0"/>
        <w:rPr>
          <w:rFonts w:ascii="Arial" w:hAnsi="Arial" w:cs="Arial"/>
          <w:sz w:val="22"/>
        </w:rPr>
      </w:pPr>
    </w:p>
    <w:p w14:paraId="65815ABE" w14:textId="77777777" w:rsidR="00C004A0" w:rsidRPr="00CA2F99" w:rsidRDefault="00C004A0" w:rsidP="00CA2F99">
      <w:pPr>
        <w:pStyle w:val="ListParagraph"/>
        <w:numPr>
          <w:ilvl w:val="0"/>
          <w:numId w:val="26"/>
        </w:numPr>
        <w:spacing w:after="0" w:line="240" w:lineRule="auto"/>
        <w:ind w:left="567" w:hanging="567"/>
        <w:contextualSpacing w:val="0"/>
        <w:jc w:val="left"/>
        <w:rPr>
          <w:rFonts w:ascii="Arial" w:hAnsi="Arial" w:cs="Arial"/>
          <w:szCs w:val="20"/>
        </w:rPr>
      </w:pPr>
      <w:r w:rsidRPr="00CA2F99">
        <w:rPr>
          <w:rFonts w:ascii="Arial" w:hAnsi="Arial" w:cs="Arial"/>
          <w:szCs w:val="20"/>
        </w:rPr>
        <w:t>The National Rock Lobster Management Group’s management goal is for all rock lobster fisheries: “to be managed and maintained at or above the assessed and agreed reference levels, using a comprehensive approach that recognises a range of customary Māori, amateur, commercial and environmental concerns and values”.</w:t>
      </w:r>
    </w:p>
    <w:p w14:paraId="2E831A4B" w14:textId="77777777" w:rsidR="00C004A0" w:rsidRPr="00CA2F99" w:rsidRDefault="00C004A0" w:rsidP="00CA2F99">
      <w:pPr>
        <w:pStyle w:val="ListParagraph"/>
        <w:spacing w:after="0" w:line="240" w:lineRule="auto"/>
        <w:contextualSpacing w:val="0"/>
        <w:rPr>
          <w:rFonts w:ascii="Arial" w:hAnsi="Arial" w:cs="Arial"/>
          <w:sz w:val="24"/>
          <w:szCs w:val="20"/>
        </w:rPr>
      </w:pPr>
    </w:p>
    <w:p w14:paraId="49786718" w14:textId="77777777" w:rsidR="002C54A7" w:rsidRDefault="002C54A7">
      <w:pPr>
        <w:spacing w:after="160" w:line="259" w:lineRule="auto"/>
        <w:contextualSpacing w:val="0"/>
        <w:rPr>
          <w:rFonts w:ascii="Arial Narrow" w:eastAsiaTheme="majorEastAsia" w:hAnsi="Arial Narrow" w:cs="Arial"/>
          <w:b/>
          <w:caps/>
          <w:sz w:val="28"/>
          <w:szCs w:val="26"/>
        </w:rPr>
      </w:pPr>
      <w:bookmarkStart w:id="50" w:name="_Toc531692789"/>
      <w:bookmarkStart w:id="51" w:name="_Toc532471882"/>
      <w:r>
        <w:br w:type="page"/>
      </w:r>
    </w:p>
    <w:p w14:paraId="76947EF7" w14:textId="69AA6883" w:rsidR="00C004A0" w:rsidRDefault="00C004A0" w:rsidP="00C004A0">
      <w:pPr>
        <w:pStyle w:val="Heading2"/>
      </w:pPr>
      <w:r>
        <w:lastRenderedPageBreak/>
        <w:t>Definition of Stock Indicators</w:t>
      </w:r>
      <w:bookmarkEnd w:id="50"/>
      <w:bookmarkEnd w:id="51"/>
    </w:p>
    <w:p w14:paraId="39D7D420" w14:textId="77777777" w:rsidR="00C004A0" w:rsidRPr="00857D97" w:rsidRDefault="00C004A0" w:rsidP="000E51AE">
      <w:pPr>
        <w:pStyle w:val="ListParagraph"/>
        <w:numPr>
          <w:ilvl w:val="0"/>
          <w:numId w:val="26"/>
        </w:numPr>
        <w:spacing w:after="60" w:line="240" w:lineRule="auto"/>
        <w:ind w:left="567" w:hanging="567"/>
        <w:contextualSpacing w:val="0"/>
        <w:jc w:val="left"/>
        <w:rPr>
          <w:rFonts w:ascii="Arial" w:hAnsi="Arial" w:cs="Arial"/>
          <w:szCs w:val="24"/>
        </w:rPr>
      </w:pPr>
      <w:r w:rsidRPr="00857D97">
        <w:rPr>
          <w:rFonts w:ascii="Arial" w:hAnsi="Arial" w:cs="Arial"/>
          <w:szCs w:val="24"/>
        </w:rPr>
        <w:t>Two stock indicators are relevant to evaluation of the proposals presented in this paper</w:t>
      </w:r>
      <w:r w:rsidRPr="00857D97">
        <w:rPr>
          <w:rStyle w:val="FootnoteReference"/>
          <w:rFonts w:ascii="Arial" w:eastAsiaTheme="majorEastAsia" w:hAnsi="Arial" w:cs="Arial"/>
          <w:szCs w:val="24"/>
        </w:rPr>
        <w:footnoteReference w:id="5"/>
      </w:r>
      <w:r w:rsidRPr="00857D97">
        <w:rPr>
          <w:rFonts w:ascii="Arial" w:hAnsi="Arial" w:cs="Arial"/>
          <w:szCs w:val="24"/>
        </w:rPr>
        <w:t>:</w:t>
      </w:r>
    </w:p>
    <w:p w14:paraId="27F195FC" w14:textId="77777777" w:rsidR="00C004A0" w:rsidRPr="00857D97" w:rsidRDefault="00C004A0" w:rsidP="00C004A0">
      <w:pPr>
        <w:pStyle w:val="ListParagraph"/>
        <w:numPr>
          <w:ilvl w:val="0"/>
          <w:numId w:val="6"/>
        </w:numPr>
        <w:spacing w:after="60" w:line="240" w:lineRule="auto"/>
        <w:ind w:left="1134" w:hanging="567"/>
        <w:contextualSpacing w:val="0"/>
        <w:jc w:val="left"/>
        <w:rPr>
          <w:rFonts w:ascii="Arial" w:hAnsi="Arial" w:cs="Arial"/>
          <w:szCs w:val="24"/>
        </w:rPr>
      </w:pPr>
      <w:r w:rsidRPr="00857D97">
        <w:rPr>
          <w:rFonts w:ascii="Arial" w:hAnsi="Arial" w:cs="Arial"/>
          <w:szCs w:val="24"/>
        </w:rPr>
        <w:t xml:space="preserve">The conceptual proxy, </w:t>
      </w:r>
      <w:r w:rsidRPr="00857D97">
        <w:rPr>
          <w:rFonts w:ascii="Arial" w:hAnsi="Arial" w:cs="Arial"/>
          <w:b/>
          <w:i/>
          <w:szCs w:val="24"/>
        </w:rPr>
        <w:t>B</w:t>
      </w:r>
      <w:r w:rsidRPr="00857D97">
        <w:rPr>
          <w:rFonts w:ascii="Arial" w:hAnsi="Arial" w:cs="Arial"/>
          <w:b/>
          <w:i/>
          <w:szCs w:val="24"/>
          <w:vertAlign w:val="subscript"/>
        </w:rPr>
        <w:t>REF</w:t>
      </w:r>
      <w:r w:rsidRPr="00857D97">
        <w:rPr>
          <w:rFonts w:ascii="Arial" w:hAnsi="Arial" w:cs="Arial"/>
          <w:szCs w:val="24"/>
        </w:rPr>
        <w:t>, a reference biomass level.</w:t>
      </w:r>
      <w:r w:rsidRPr="00857D97">
        <w:rPr>
          <w:rStyle w:val="FootnoteReference"/>
          <w:rFonts w:ascii="Arial" w:eastAsiaTheme="majorEastAsia" w:hAnsi="Arial" w:cs="Arial"/>
          <w:szCs w:val="24"/>
        </w:rPr>
        <w:footnoteReference w:id="6"/>
      </w:r>
      <w:r w:rsidRPr="00857D97">
        <w:rPr>
          <w:rFonts w:ascii="Arial" w:hAnsi="Arial" w:cs="Arial"/>
          <w:szCs w:val="24"/>
        </w:rPr>
        <w:t xml:space="preserve"> The use of </w:t>
      </w:r>
      <w:r w:rsidRPr="00857D97">
        <w:rPr>
          <w:rFonts w:ascii="Arial" w:hAnsi="Arial" w:cs="Arial"/>
          <w:b/>
          <w:i/>
          <w:szCs w:val="24"/>
        </w:rPr>
        <w:t>B</w:t>
      </w:r>
      <w:r w:rsidRPr="00857D97">
        <w:rPr>
          <w:rFonts w:ascii="Arial" w:hAnsi="Arial" w:cs="Arial"/>
          <w:b/>
          <w:i/>
          <w:szCs w:val="24"/>
          <w:vertAlign w:val="subscript"/>
        </w:rPr>
        <w:t>REF</w:t>
      </w:r>
      <w:r w:rsidRPr="00857D97">
        <w:rPr>
          <w:rFonts w:ascii="Arial" w:hAnsi="Arial" w:cs="Arial"/>
          <w:szCs w:val="24"/>
        </w:rPr>
        <w:t xml:space="preserve"> is a way of assessing a stock that is not inconsistent with the objective of maintaining a stock at or above, or moving the stock towards, a level that can maintain the maximum sustainable yield (MSY). This “not inconsistent” approach is set out in section 13(2A) of the Act where the Minister considers that current biomass or </w:t>
      </w:r>
      <w:r w:rsidRPr="00857D97">
        <w:rPr>
          <w:rFonts w:ascii="Arial" w:hAnsi="Arial" w:cs="Arial"/>
          <w:b/>
          <w:i/>
          <w:szCs w:val="24"/>
        </w:rPr>
        <w:t>B</w:t>
      </w:r>
      <w:r w:rsidRPr="00857D97">
        <w:rPr>
          <w:rFonts w:ascii="Arial" w:hAnsi="Arial" w:cs="Arial"/>
          <w:b/>
          <w:i/>
          <w:szCs w:val="24"/>
          <w:vertAlign w:val="subscript"/>
        </w:rPr>
        <w:t>MSY</w:t>
      </w:r>
      <w:r w:rsidRPr="00857D97">
        <w:rPr>
          <w:rFonts w:ascii="Arial" w:hAnsi="Arial" w:cs="Arial"/>
          <w:szCs w:val="24"/>
        </w:rPr>
        <w:t xml:space="preserve"> cannot be estimated reliably using best available information. </w:t>
      </w:r>
      <w:r w:rsidRPr="00857D97">
        <w:rPr>
          <w:rFonts w:ascii="Arial" w:hAnsi="Arial" w:cs="Arial"/>
          <w:b/>
          <w:i/>
          <w:szCs w:val="24"/>
        </w:rPr>
        <w:t>B</w:t>
      </w:r>
      <w:r w:rsidRPr="00857D97">
        <w:rPr>
          <w:rFonts w:ascii="Arial" w:hAnsi="Arial" w:cs="Arial"/>
          <w:b/>
          <w:i/>
          <w:szCs w:val="24"/>
          <w:vertAlign w:val="subscript"/>
        </w:rPr>
        <w:t>REF</w:t>
      </w:r>
      <w:r w:rsidRPr="00857D97">
        <w:rPr>
          <w:rFonts w:ascii="Arial" w:hAnsi="Arial" w:cs="Arial"/>
          <w:szCs w:val="24"/>
        </w:rPr>
        <w:t xml:space="preserve"> is generally a stock size at or above the stock size associated with a period in the fishery that showed good productivity and was demonstrably safe.</w:t>
      </w:r>
    </w:p>
    <w:p w14:paraId="7A13AD86" w14:textId="77777777" w:rsidR="00C004A0" w:rsidRPr="00857D97" w:rsidRDefault="00C004A0" w:rsidP="00C004A0">
      <w:pPr>
        <w:pStyle w:val="ListParagraph"/>
        <w:numPr>
          <w:ilvl w:val="0"/>
          <w:numId w:val="6"/>
        </w:numPr>
        <w:spacing w:after="0" w:line="240" w:lineRule="auto"/>
        <w:ind w:left="1134" w:hanging="567"/>
        <w:contextualSpacing w:val="0"/>
        <w:jc w:val="left"/>
        <w:rPr>
          <w:rFonts w:ascii="Arial" w:hAnsi="Arial" w:cs="Arial"/>
          <w:szCs w:val="20"/>
        </w:rPr>
      </w:pPr>
      <w:r w:rsidRPr="00857D97">
        <w:rPr>
          <w:rFonts w:ascii="Arial" w:hAnsi="Arial" w:cs="Arial"/>
          <w:szCs w:val="20"/>
        </w:rPr>
        <w:t xml:space="preserve">Spawning stock biomass, </w:t>
      </w:r>
      <w:r w:rsidRPr="00857D97">
        <w:rPr>
          <w:rFonts w:ascii="Arial" w:hAnsi="Arial" w:cs="Arial"/>
          <w:b/>
          <w:i/>
          <w:szCs w:val="20"/>
        </w:rPr>
        <w:t>SSB</w:t>
      </w:r>
      <w:r w:rsidRPr="00857D97">
        <w:rPr>
          <w:rFonts w:ascii="Arial" w:hAnsi="Arial" w:cs="Arial"/>
          <w:szCs w:val="20"/>
        </w:rPr>
        <w:t>, which is the weight of all mature females in the autumn-winter.</w:t>
      </w:r>
    </w:p>
    <w:p w14:paraId="5FF4EABC" w14:textId="77777777" w:rsidR="00C004A0" w:rsidRPr="00526225" w:rsidRDefault="00C004A0" w:rsidP="00C004A0">
      <w:pPr>
        <w:rPr>
          <w:rFonts w:ascii="Arial Narrow" w:hAnsi="Arial Narrow"/>
          <w:caps/>
          <w:kern w:val="28"/>
        </w:rPr>
      </w:pPr>
    </w:p>
    <w:p w14:paraId="51DE0E47" w14:textId="77777777" w:rsidR="00C004A0" w:rsidRPr="00407B8A" w:rsidRDefault="00C004A0" w:rsidP="00C004A0">
      <w:pPr>
        <w:pStyle w:val="Heading2"/>
      </w:pPr>
      <w:bookmarkStart w:id="52" w:name="_Toc531692790"/>
      <w:bookmarkStart w:id="53" w:name="_Toc532471883"/>
      <w:r>
        <w:t>Harvest Strategy Standard</w:t>
      </w:r>
      <w:bookmarkEnd w:id="52"/>
      <w:bookmarkEnd w:id="53"/>
    </w:p>
    <w:p w14:paraId="4ED6ADC8" w14:textId="77777777" w:rsidR="00C004A0" w:rsidRPr="00857D97" w:rsidRDefault="00C004A0" w:rsidP="005077A8">
      <w:pPr>
        <w:pStyle w:val="ListParagraph"/>
        <w:numPr>
          <w:ilvl w:val="0"/>
          <w:numId w:val="26"/>
        </w:numPr>
        <w:spacing w:after="0" w:line="240" w:lineRule="auto"/>
        <w:ind w:left="567" w:hanging="567"/>
        <w:jc w:val="left"/>
        <w:rPr>
          <w:rFonts w:ascii="Arial" w:hAnsi="Arial" w:cs="Arial"/>
          <w:szCs w:val="20"/>
        </w:rPr>
      </w:pPr>
      <w:r w:rsidRPr="00857D97">
        <w:rPr>
          <w:rFonts w:ascii="Arial" w:hAnsi="Arial" w:cs="Arial"/>
          <w:szCs w:val="20"/>
        </w:rPr>
        <w:t>The Harvest Strategy Standard is a policy statement of best practice in relation to the setting of fishery and stock targets and limits for fishstocks in the Quota Management System. It outlines Fisheries New Zealand’s approach to relevant sections of the Act, and as such, forms a core input to advice to the Minister on the management of fisheries, particularly the setting of TACs under section 13. The Harvest Strategy Standard is not, however, legally binding and the Minister is not obliged to choose options based on it.</w:t>
      </w:r>
    </w:p>
    <w:p w14:paraId="1CD5B264" w14:textId="77777777" w:rsidR="00C004A0" w:rsidRPr="00857D97" w:rsidRDefault="00C004A0" w:rsidP="00C004A0">
      <w:pPr>
        <w:ind w:left="567" w:hanging="567"/>
        <w:rPr>
          <w:rFonts w:ascii="Arial" w:hAnsi="Arial" w:cs="Arial"/>
          <w:sz w:val="22"/>
        </w:rPr>
      </w:pPr>
    </w:p>
    <w:p w14:paraId="4D296CE9" w14:textId="77777777" w:rsidR="00C004A0" w:rsidRPr="00857D97" w:rsidRDefault="00C004A0" w:rsidP="00E22B6D">
      <w:pPr>
        <w:pStyle w:val="ListParagraph"/>
        <w:numPr>
          <w:ilvl w:val="0"/>
          <w:numId w:val="26"/>
        </w:numPr>
        <w:spacing w:after="60" w:line="240" w:lineRule="auto"/>
        <w:ind w:left="567" w:hanging="567"/>
        <w:contextualSpacing w:val="0"/>
        <w:jc w:val="left"/>
        <w:rPr>
          <w:rFonts w:ascii="Arial" w:hAnsi="Arial" w:cs="Arial"/>
          <w:szCs w:val="20"/>
        </w:rPr>
      </w:pPr>
      <w:r w:rsidRPr="00857D97">
        <w:rPr>
          <w:rFonts w:ascii="Arial" w:hAnsi="Arial" w:cs="Arial"/>
          <w:szCs w:val="20"/>
        </w:rPr>
        <w:t xml:space="preserve">The Harvest Strategy Standard specifies that management procedures should be designed to ensure that the probability of: </w:t>
      </w:r>
    </w:p>
    <w:p w14:paraId="49440488" w14:textId="77777777" w:rsidR="00C004A0" w:rsidRPr="00857D97" w:rsidRDefault="00C004A0" w:rsidP="00C004A0">
      <w:pPr>
        <w:pStyle w:val="ListParagraph"/>
        <w:numPr>
          <w:ilvl w:val="0"/>
          <w:numId w:val="7"/>
        </w:numPr>
        <w:spacing w:after="0" w:line="240" w:lineRule="auto"/>
        <w:ind w:left="1134" w:hanging="567"/>
        <w:jc w:val="left"/>
        <w:rPr>
          <w:rFonts w:ascii="Arial" w:hAnsi="Arial" w:cs="Arial"/>
          <w:szCs w:val="20"/>
        </w:rPr>
      </w:pPr>
      <w:r w:rsidRPr="00857D97">
        <w:rPr>
          <w:rFonts w:ascii="Arial" w:hAnsi="Arial" w:cs="Arial"/>
          <w:szCs w:val="20"/>
        </w:rPr>
        <w:t xml:space="preserve">Achieving the </w:t>
      </w:r>
      <w:r w:rsidRPr="00857D97">
        <w:rPr>
          <w:rFonts w:ascii="Arial" w:hAnsi="Arial" w:cs="Arial"/>
          <w:i/>
          <w:szCs w:val="20"/>
        </w:rPr>
        <w:t>MSY</w:t>
      </w:r>
      <w:r w:rsidRPr="00857D97">
        <w:rPr>
          <w:rFonts w:ascii="Arial" w:hAnsi="Arial" w:cs="Arial"/>
          <w:szCs w:val="20"/>
        </w:rPr>
        <w:t>-compatible target or better is at least 50%;</w:t>
      </w:r>
    </w:p>
    <w:p w14:paraId="516E9FBC" w14:textId="77777777" w:rsidR="00C004A0" w:rsidRPr="00857D97" w:rsidRDefault="00C004A0" w:rsidP="00C004A0">
      <w:pPr>
        <w:pStyle w:val="ListParagraph"/>
        <w:numPr>
          <w:ilvl w:val="0"/>
          <w:numId w:val="7"/>
        </w:numPr>
        <w:spacing w:after="0" w:line="240" w:lineRule="auto"/>
        <w:ind w:left="1134" w:hanging="567"/>
        <w:jc w:val="left"/>
        <w:rPr>
          <w:rFonts w:ascii="Arial" w:hAnsi="Arial" w:cs="Arial"/>
          <w:szCs w:val="20"/>
        </w:rPr>
      </w:pPr>
      <w:r w:rsidRPr="00857D97">
        <w:rPr>
          <w:rFonts w:ascii="Arial" w:hAnsi="Arial" w:cs="Arial"/>
          <w:szCs w:val="20"/>
        </w:rPr>
        <w:t>Breaching the soft limit does not exceed 10%; and</w:t>
      </w:r>
    </w:p>
    <w:p w14:paraId="1BF2D055" w14:textId="77777777" w:rsidR="00C004A0" w:rsidRPr="00857D97" w:rsidRDefault="00C004A0" w:rsidP="00C004A0">
      <w:pPr>
        <w:pStyle w:val="ListParagraph"/>
        <w:numPr>
          <w:ilvl w:val="0"/>
          <w:numId w:val="7"/>
        </w:numPr>
        <w:spacing w:after="0" w:line="240" w:lineRule="auto"/>
        <w:ind w:left="1134" w:hanging="567"/>
        <w:jc w:val="left"/>
        <w:rPr>
          <w:rFonts w:ascii="Arial" w:hAnsi="Arial" w:cs="Arial"/>
          <w:szCs w:val="20"/>
        </w:rPr>
      </w:pPr>
      <w:r w:rsidRPr="00857D97">
        <w:rPr>
          <w:rFonts w:ascii="Arial" w:hAnsi="Arial" w:cs="Arial"/>
          <w:szCs w:val="20"/>
        </w:rPr>
        <w:t>Breaching the hard limit does not exceed 2%.</w:t>
      </w:r>
    </w:p>
    <w:p w14:paraId="4D2F08F9" w14:textId="77777777" w:rsidR="00C004A0" w:rsidRPr="00857D97" w:rsidRDefault="00C004A0" w:rsidP="00C004A0">
      <w:pPr>
        <w:ind w:left="567" w:hanging="567"/>
        <w:rPr>
          <w:rFonts w:ascii="Arial" w:hAnsi="Arial" w:cs="Arial"/>
          <w:sz w:val="22"/>
        </w:rPr>
      </w:pPr>
    </w:p>
    <w:p w14:paraId="207805DC" w14:textId="77777777" w:rsidR="00C004A0" w:rsidRPr="00183A9D" w:rsidRDefault="00C004A0" w:rsidP="005077A8">
      <w:pPr>
        <w:pStyle w:val="ListParagraph"/>
        <w:numPr>
          <w:ilvl w:val="0"/>
          <w:numId w:val="26"/>
        </w:numPr>
        <w:spacing w:after="60" w:line="240" w:lineRule="auto"/>
        <w:ind w:left="567" w:hanging="567"/>
        <w:contextualSpacing w:val="0"/>
        <w:jc w:val="left"/>
        <w:rPr>
          <w:rFonts w:ascii="Arial" w:hAnsi="Arial" w:cs="Arial"/>
          <w:szCs w:val="20"/>
        </w:rPr>
      </w:pPr>
      <w:r w:rsidRPr="00183A9D">
        <w:rPr>
          <w:rFonts w:ascii="Arial" w:hAnsi="Arial" w:cs="Arial"/>
          <w:szCs w:val="20"/>
        </w:rPr>
        <w:t xml:space="preserve">For rock lobster: </w:t>
      </w:r>
    </w:p>
    <w:p w14:paraId="1AA85CB3" w14:textId="025679C0" w:rsidR="00C004A0" w:rsidRPr="005077A8" w:rsidRDefault="00C004A0" w:rsidP="00E22B6D">
      <w:pPr>
        <w:pStyle w:val="ListParagraph"/>
        <w:numPr>
          <w:ilvl w:val="0"/>
          <w:numId w:val="8"/>
        </w:numPr>
        <w:spacing w:after="0" w:line="240" w:lineRule="auto"/>
        <w:ind w:left="1134" w:hanging="567"/>
        <w:jc w:val="left"/>
        <w:rPr>
          <w:rFonts w:ascii="Arial" w:hAnsi="Arial" w:cs="Arial"/>
          <w:szCs w:val="20"/>
        </w:rPr>
      </w:pPr>
      <w:r w:rsidRPr="005077A8">
        <w:rPr>
          <w:rFonts w:ascii="Arial" w:hAnsi="Arial" w:cs="Arial"/>
          <w:szCs w:val="20"/>
        </w:rPr>
        <w:t>The soft limit is defined as 20% of the unfished spawning stock biomass level; and</w:t>
      </w:r>
    </w:p>
    <w:p w14:paraId="47F8F56D" w14:textId="77777777" w:rsidR="00C004A0" w:rsidRDefault="00C004A0" w:rsidP="00C004A0">
      <w:pPr>
        <w:pStyle w:val="ListParagraph"/>
        <w:numPr>
          <w:ilvl w:val="0"/>
          <w:numId w:val="8"/>
        </w:numPr>
        <w:spacing w:after="0" w:line="240" w:lineRule="auto"/>
        <w:ind w:left="1134" w:hanging="567"/>
        <w:jc w:val="left"/>
        <w:rPr>
          <w:rFonts w:ascii="Arial" w:hAnsi="Arial" w:cs="Arial"/>
          <w:szCs w:val="20"/>
        </w:rPr>
      </w:pPr>
      <w:r w:rsidRPr="00183A9D">
        <w:rPr>
          <w:rFonts w:ascii="Arial" w:hAnsi="Arial" w:cs="Arial"/>
          <w:szCs w:val="20"/>
        </w:rPr>
        <w:t>The hard limit is defined as 10% of the unfished spawning stock biomass level.</w:t>
      </w:r>
    </w:p>
    <w:p w14:paraId="71734AC5" w14:textId="3D4DE629" w:rsidR="004E2FCA" w:rsidRDefault="004E2FCA" w:rsidP="004E2FCA">
      <w:pPr>
        <w:rPr>
          <w:rFonts w:ascii="Arial" w:hAnsi="Arial" w:cs="Arial"/>
          <w:sz w:val="22"/>
          <w:szCs w:val="22"/>
        </w:rPr>
      </w:pPr>
    </w:p>
    <w:p w14:paraId="7006DFB1" w14:textId="407D6981" w:rsidR="002F42FC" w:rsidRDefault="002F42FC" w:rsidP="004E2FCA">
      <w:pPr>
        <w:rPr>
          <w:rFonts w:ascii="Arial" w:hAnsi="Arial" w:cs="Arial"/>
          <w:sz w:val="22"/>
          <w:szCs w:val="22"/>
        </w:rPr>
      </w:pPr>
    </w:p>
    <w:p w14:paraId="673A3E85" w14:textId="77777777" w:rsidR="002F42FC" w:rsidRDefault="002F42FC" w:rsidP="004E2FCA">
      <w:pPr>
        <w:rPr>
          <w:rFonts w:ascii="Arial" w:hAnsi="Arial" w:cs="Arial"/>
          <w:sz w:val="22"/>
          <w:szCs w:val="22"/>
        </w:rPr>
      </w:pPr>
    </w:p>
    <w:p w14:paraId="6526695A" w14:textId="77777777" w:rsidR="002F42FC" w:rsidRPr="00AE2F0E" w:rsidRDefault="002F42FC" w:rsidP="004E2FCA">
      <w:pPr>
        <w:rPr>
          <w:rFonts w:ascii="Arial" w:hAnsi="Arial" w:cs="Arial"/>
          <w:sz w:val="22"/>
          <w:szCs w:val="22"/>
        </w:rPr>
      </w:pPr>
    </w:p>
    <w:p w14:paraId="36B5BB85" w14:textId="183829B9" w:rsidR="00786D81" w:rsidRDefault="00943466" w:rsidP="00B3771B">
      <w:pPr>
        <w:pStyle w:val="Heading1"/>
        <w:numPr>
          <w:ilvl w:val="0"/>
          <w:numId w:val="4"/>
        </w:numPr>
        <w:ind w:left="567" w:hanging="567"/>
      </w:pPr>
      <w:bookmarkStart w:id="54" w:name="_Toc531692791"/>
      <w:bookmarkStart w:id="55" w:name="_Toc532471884"/>
      <w:r>
        <w:lastRenderedPageBreak/>
        <w:t>Review of the CRA 3</w:t>
      </w:r>
      <w:r w:rsidR="00786D81">
        <w:t xml:space="preserve"> (</w:t>
      </w:r>
      <w:r>
        <w:t>Gisborne</w:t>
      </w:r>
      <w:r w:rsidR="00786D81">
        <w:t>) Rock Lobster Fishery</w:t>
      </w:r>
      <w:bookmarkEnd w:id="40"/>
      <w:bookmarkEnd w:id="41"/>
      <w:bookmarkEnd w:id="42"/>
      <w:bookmarkEnd w:id="43"/>
      <w:bookmarkEnd w:id="44"/>
      <w:bookmarkEnd w:id="45"/>
      <w:bookmarkEnd w:id="54"/>
      <w:bookmarkEnd w:id="55"/>
    </w:p>
    <w:p w14:paraId="3E8C907C" w14:textId="77777777" w:rsidR="00CA2F99" w:rsidRDefault="00CA2F99" w:rsidP="00CA2F99">
      <w:pPr>
        <w:pStyle w:val="Heading2"/>
        <w:spacing w:after="60"/>
      </w:pPr>
      <w:bookmarkStart w:id="56" w:name="_Toc532471885"/>
      <w:bookmarkStart w:id="57" w:name="_Toc469576738"/>
      <w:bookmarkStart w:id="58" w:name="_Toc470178840"/>
      <w:bookmarkStart w:id="59" w:name="_Toc531692792"/>
      <w:r>
        <w:t>Fishery Overview</w:t>
      </w:r>
      <w:bookmarkEnd w:id="56"/>
    </w:p>
    <w:p w14:paraId="318FB286" w14:textId="77777777" w:rsidR="00CA2F99" w:rsidRPr="008E7BB4" w:rsidRDefault="00CA2F99" w:rsidP="00CA2F99">
      <w:pPr>
        <w:spacing w:before="240" w:after="60"/>
        <w:contextualSpacing w:val="0"/>
        <w:rPr>
          <w:rFonts w:ascii="Arial Narrow" w:hAnsi="Arial Narrow"/>
          <w:b/>
        </w:rPr>
      </w:pPr>
      <w:r w:rsidRPr="008E7BB4">
        <w:rPr>
          <w:rFonts w:ascii="Arial Narrow" w:hAnsi="Arial Narrow"/>
          <w:b/>
        </w:rPr>
        <w:t>Māori customary fishing</w:t>
      </w:r>
    </w:p>
    <w:p w14:paraId="70762CEA" w14:textId="06564999" w:rsidR="00CA2F99" w:rsidRDefault="00CA2F99" w:rsidP="00CA2F99">
      <w:pPr>
        <w:pStyle w:val="ListParagraph"/>
        <w:numPr>
          <w:ilvl w:val="0"/>
          <w:numId w:val="26"/>
        </w:numPr>
        <w:spacing w:after="0" w:line="240" w:lineRule="auto"/>
        <w:ind w:left="567" w:hanging="567"/>
        <w:jc w:val="left"/>
        <w:rPr>
          <w:rFonts w:ascii="Arial" w:hAnsi="Arial" w:cs="Arial"/>
        </w:rPr>
      </w:pPr>
      <w:r w:rsidRPr="00982C6D">
        <w:rPr>
          <w:rFonts w:ascii="Arial" w:hAnsi="Arial" w:cs="Arial"/>
          <w:szCs w:val="20"/>
        </w:rPr>
        <w:t xml:space="preserve">Rock lobster (koura) is a taonga species for tangata whenua. </w:t>
      </w:r>
      <w:r w:rsidRPr="00857D97">
        <w:rPr>
          <w:rFonts w:ascii="Arial" w:hAnsi="Arial" w:cs="Arial"/>
        </w:rPr>
        <w:t>Information on CRA 3 customary catches is available under the Fisheries (Kaimoana) Regulations 1998</w:t>
      </w:r>
      <w:r>
        <w:rPr>
          <w:rFonts w:ascii="Arial" w:hAnsi="Arial" w:cs="Arial"/>
        </w:rPr>
        <w:t>,</w:t>
      </w:r>
      <w:r w:rsidRPr="00857D97">
        <w:rPr>
          <w:rFonts w:ascii="Arial" w:hAnsi="Arial" w:cs="Arial"/>
        </w:rPr>
        <w:t xml:space="preserve"> and regulation 50 of the Fisheries (Amateur Fishing) Regulations 2013. In the </w:t>
      </w:r>
      <w:r>
        <w:rPr>
          <w:rFonts w:ascii="Arial" w:hAnsi="Arial" w:cs="Arial"/>
        </w:rPr>
        <w:t>2017</w:t>
      </w:r>
      <w:r w:rsidRPr="00857D97">
        <w:rPr>
          <w:rFonts w:ascii="Arial" w:hAnsi="Arial" w:cs="Arial"/>
        </w:rPr>
        <w:t xml:space="preserve"> calendar year, approximately </w:t>
      </w:r>
      <w:r>
        <w:rPr>
          <w:rFonts w:ascii="Arial" w:hAnsi="Arial" w:cs="Arial"/>
        </w:rPr>
        <w:t>8,400</w:t>
      </w:r>
      <w:r w:rsidRPr="00857D97">
        <w:rPr>
          <w:rFonts w:ascii="Arial" w:hAnsi="Arial" w:cs="Arial"/>
        </w:rPr>
        <w:t xml:space="preserve"> rock lobsters were re</w:t>
      </w:r>
      <w:r>
        <w:rPr>
          <w:rFonts w:ascii="Arial" w:hAnsi="Arial" w:cs="Arial"/>
        </w:rPr>
        <w:t xml:space="preserve">ported as </w:t>
      </w:r>
      <w:r w:rsidR="00B4198E">
        <w:rPr>
          <w:rFonts w:ascii="Arial" w:hAnsi="Arial" w:cs="Arial"/>
        </w:rPr>
        <w:t>customary harvest</w:t>
      </w:r>
      <w:r>
        <w:rPr>
          <w:rFonts w:ascii="Arial" w:hAnsi="Arial" w:cs="Arial"/>
        </w:rPr>
        <w:t xml:space="preserve"> from CRA 3.</w:t>
      </w:r>
      <w:r w:rsidR="002D0764">
        <w:rPr>
          <w:rFonts w:ascii="Arial" w:hAnsi="Arial" w:cs="Arial"/>
        </w:rPr>
        <w:t xml:space="preserve"> </w:t>
      </w:r>
      <w:r w:rsidR="002D0764" w:rsidRPr="005278EE">
        <w:rPr>
          <w:rFonts w:ascii="Arial" w:hAnsi="Arial" w:cs="Arial"/>
        </w:rPr>
        <w:t>This information is considered incomplete</w:t>
      </w:r>
      <w:r w:rsidR="005278EE">
        <w:rPr>
          <w:rFonts w:ascii="Arial" w:hAnsi="Arial" w:cs="Arial"/>
        </w:rPr>
        <w:t>,</w:t>
      </w:r>
      <w:r w:rsidR="002D0764" w:rsidRPr="005278EE">
        <w:rPr>
          <w:rFonts w:ascii="Arial" w:hAnsi="Arial" w:cs="Arial"/>
        </w:rPr>
        <w:t xml:space="preserve"> </w:t>
      </w:r>
      <w:r w:rsidR="005278EE" w:rsidRPr="005278EE">
        <w:rPr>
          <w:rFonts w:ascii="Arial" w:hAnsi="Arial" w:cs="Arial"/>
        </w:rPr>
        <w:t xml:space="preserve">because </w:t>
      </w:r>
      <w:r w:rsidR="002D0764" w:rsidRPr="005278EE">
        <w:rPr>
          <w:rFonts w:ascii="Arial" w:hAnsi="Arial" w:cs="Arial"/>
        </w:rPr>
        <w:t xml:space="preserve">customary take of rock lobster </w:t>
      </w:r>
      <w:r w:rsidR="005278EE" w:rsidRPr="005278EE">
        <w:rPr>
          <w:rFonts w:ascii="Arial" w:hAnsi="Arial" w:cs="Arial"/>
        </w:rPr>
        <w:t xml:space="preserve">that </w:t>
      </w:r>
      <w:r w:rsidR="002D0764" w:rsidRPr="005278EE">
        <w:rPr>
          <w:rFonts w:ascii="Arial" w:hAnsi="Arial" w:cs="Arial"/>
        </w:rPr>
        <w:t xml:space="preserve">occurs under </w:t>
      </w:r>
      <w:r w:rsidR="005278EE">
        <w:rPr>
          <w:rFonts w:ascii="Arial" w:hAnsi="Arial" w:cs="Arial"/>
        </w:rPr>
        <w:t xml:space="preserve">the </w:t>
      </w:r>
      <w:r w:rsidR="005278EE" w:rsidRPr="005278EE">
        <w:rPr>
          <w:rFonts w:ascii="Arial" w:hAnsi="Arial" w:cs="Arial"/>
        </w:rPr>
        <w:t xml:space="preserve">Amateur </w:t>
      </w:r>
      <w:r w:rsidR="002D0764" w:rsidRPr="005278EE">
        <w:rPr>
          <w:rFonts w:ascii="Arial" w:hAnsi="Arial" w:cs="Arial"/>
        </w:rPr>
        <w:t>Regulations for</w:t>
      </w:r>
      <w:r w:rsidR="005278EE" w:rsidRPr="005278EE">
        <w:rPr>
          <w:rFonts w:ascii="Arial" w:hAnsi="Arial" w:cs="Arial"/>
        </w:rPr>
        <w:t xml:space="preserve"> the purposes of hui and tangi is not required to be reported.</w:t>
      </w:r>
    </w:p>
    <w:p w14:paraId="2C4D099C" w14:textId="77777777" w:rsidR="00CA2F99" w:rsidRPr="00857D97" w:rsidRDefault="00CA2F99" w:rsidP="00CA2F99">
      <w:pPr>
        <w:pStyle w:val="ListParagraph"/>
        <w:spacing w:after="0" w:line="240" w:lineRule="auto"/>
        <w:ind w:left="567"/>
        <w:jc w:val="left"/>
        <w:rPr>
          <w:rFonts w:ascii="Arial" w:hAnsi="Arial" w:cs="Arial"/>
        </w:rPr>
      </w:pPr>
    </w:p>
    <w:p w14:paraId="7B55F961" w14:textId="77777777" w:rsidR="00CA2F99" w:rsidRDefault="00CA2F99" w:rsidP="00CA2F99">
      <w:pPr>
        <w:pStyle w:val="ListParagraph"/>
        <w:numPr>
          <w:ilvl w:val="0"/>
          <w:numId w:val="26"/>
        </w:numPr>
        <w:spacing w:after="0" w:line="240" w:lineRule="auto"/>
        <w:ind w:left="567" w:hanging="567"/>
        <w:jc w:val="left"/>
        <w:rPr>
          <w:rFonts w:ascii="Arial" w:hAnsi="Arial" w:cs="Arial"/>
        </w:rPr>
      </w:pPr>
      <w:r w:rsidRPr="00857D97">
        <w:rPr>
          <w:rFonts w:ascii="Arial" w:hAnsi="Arial" w:cs="Arial"/>
        </w:rPr>
        <w:t>An estimate of 20 tonnes was used in the last 2014 CRA 3 stock assessment model to represent customary catches.</w:t>
      </w:r>
    </w:p>
    <w:p w14:paraId="2699C426" w14:textId="77777777" w:rsidR="00CA2F99" w:rsidRPr="008E7BB4" w:rsidRDefault="00CA2F99" w:rsidP="00CA2F99">
      <w:pPr>
        <w:spacing w:before="240" w:after="60"/>
        <w:contextualSpacing w:val="0"/>
        <w:rPr>
          <w:rFonts w:ascii="Arial Narrow" w:hAnsi="Arial Narrow"/>
          <w:b/>
        </w:rPr>
      </w:pPr>
      <w:r>
        <w:rPr>
          <w:rFonts w:ascii="Arial Narrow" w:hAnsi="Arial Narrow"/>
          <w:b/>
        </w:rPr>
        <w:t>Recreational</w:t>
      </w:r>
      <w:r w:rsidRPr="008E7BB4">
        <w:rPr>
          <w:rFonts w:ascii="Arial Narrow" w:hAnsi="Arial Narrow"/>
          <w:b/>
        </w:rPr>
        <w:t xml:space="preserve"> fishing</w:t>
      </w:r>
    </w:p>
    <w:p w14:paraId="74069C93" w14:textId="384E5658" w:rsidR="00CA2F99" w:rsidRDefault="00CA2F99" w:rsidP="00CA2F99">
      <w:pPr>
        <w:pStyle w:val="ListParagraph"/>
        <w:numPr>
          <w:ilvl w:val="0"/>
          <w:numId w:val="26"/>
        </w:numPr>
        <w:spacing w:after="0" w:line="240" w:lineRule="auto"/>
        <w:ind w:left="567" w:hanging="567"/>
        <w:jc w:val="left"/>
        <w:rPr>
          <w:rFonts w:ascii="Arial" w:hAnsi="Arial" w:cs="Arial"/>
          <w:szCs w:val="20"/>
        </w:rPr>
      </w:pPr>
      <w:r>
        <w:rPr>
          <w:rFonts w:ascii="Arial" w:hAnsi="Arial" w:cs="Arial"/>
          <w:szCs w:val="20"/>
        </w:rPr>
        <w:t>The CRA 3</w:t>
      </w:r>
      <w:r w:rsidRPr="00D72863">
        <w:rPr>
          <w:rFonts w:ascii="Arial" w:hAnsi="Arial" w:cs="Arial"/>
          <w:szCs w:val="20"/>
        </w:rPr>
        <w:t xml:space="preserve"> rock lobs</w:t>
      </w:r>
      <w:r>
        <w:rPr>
          <w:rFonts w:ascii="Arial" w:hAnsi="Arial" w:cs="Arial"/>
          <w:szCs w:val="20"/>
        </w:rPr>
        <w:t xml:space="preserve">ter fishery supports </w:t>
      </w:r>
      <w:r w:rsidR="002B427D">
        <w:rPr>
          <w:rFonts w:ascii="Arial" w:hAnsi="Arial" w:cs="Arial"/>
          <w:szCs w:val="20"/>
        </w:rPr>
        <w:t>a popular</w:t>
      </w:r>
      <w:r>
        <w:rPr>
          <w:rFonts w:ascii="Arial" w:hAnsi="Arial" w:cs="Arial"/>
          <w:szCs w:val="20"/>
        </w:rPr>
        <w:t xml:space="preserve"> recreational fishery along the East Coast of the North Island, including </w:t>
      </w:r>
      <w:r w:rsidR="00086289">
        <w:rPr>
          <w:rFonts w:ascii="Arial" w:hAnsi="Arial" w:cs="Arial"/>
          <w:szCs w:val="20"/>
        </w:rPr>
        <w:t xml:space="preserve">in </w:t>
      </w:r>
      <w:r>
        <w:rPr>
          <w:rFonts w:ascii="Arial" w:hAnsi="Arial" w:cs="Arial"/>
          <w:szCs w:val="20"/>
        </w:rPr>
        <w:t>areas such as Poverty Bay and Mahia.</w:t>
      </w:r>
    </w:p>
    <w:p w14:paraId="1F53F860" w14:textId="77777777" w:rsidR="00CA2F99" w:rsidRDefault="00CA2F99" w:rsidP="00CA2F99">
      <w:pPr>
        <w:rPr>
          <w:rFonts w:ascii="Arial" w:hAnsi="Arial" w:cs="Arial"/>
        </w:rPr>
      </w:pPr>
    </w:p>
    <w:p w14:paraId="221C1542" w14:textId="08704550" w:rsidR="004E2FCA" w:rsidRDefault="00086289" w:rsidP="00CA2F99">
      <w:pPr>
        <w:pStyle w:val="ListParagraph"/>
        <w:numPr>
          <w:ilvl w:val="0"/>
          <w:numId w:val="26"/>
        </w:numPr>
        <w:spacing w:after="0" w:line="240" w:lineRule="auto"/>
        <w:ind w:left="567" w:hanging="567"/>
        <w:jc w:val="left"/>
        <w:rPr>
          <w:rFonts w:ascii="Arial" w:hAnsi="Arial" w:cs="Arial"/>
        </w:rPr>
      </w:pPr>
      <w:r>
        <w:rPr>
          <w:rFonts w:ascii="Arial" w:hAnsi="Arial" w:cs="Arial"/>
        </w:rPr>
        <w:t xml:space="preserve">Recreational fishers are not required to report the quantities of rock lobsters they catch. </w:t>
      </w:r>
      <w:r w:rsidR="00CA2F99">
        <w:rPr>
          <w:rFonts w:ascii="Arial" w:hAnsi="Arial" w:cs="Arial"/>
        </w:rPr>
        <w:t>For</w:t>
      </w:r>
      <w:r w:rsidR="00CA2F99" w:rsidRPr="00857D97">
        <w:rPr>
          <w:rFonts w:ascii="Arial" w:hAnsi="Arial" w:cs="Arial"/>
        </w:rPr>
        <w:t xml:space="preserve"> the 2014 CRA 3 stock assessment, recreational catch estimates from 1992, 1996 and 2011 recreational harvest surveys were used to construct a recreational catch trajectory (Figure </w:t>
      </w:r>
      <w:r w:rsidR="00756AD5">
        <w:rPr>
          <w:rFonts w:ascii="Arial" w:hAnsi="Arial" w:cs="Arial"/>
        </w:rPr>
        <w:t>2</w:t>
      </w:r>
      <w:r w:rsidR="00CA2F99" w:rsidRPr="00857D97">
        <w:rPr>
          <w:rFonts w:ascii="Arial" w:hAnsi="Arial" w:cs="Arial"/>
        </w:rPr>
        <w:t xml:space="preserve">). The </w:t>
      </w:r>
      <w:r w:rsidR="008335C9">
        <w:rPr>
          <w:rFonts w:ascii="Arial" w:hAnsi="Arial" w:cs="Arial"/>
        </w:rPr>
        <w:t xml:space="preserve">trajectory was </w:t>
      </w:r>
      <w:r w:rsidR="00CA2F99">
        <w:rPr>
          <w:rFonts w:ascii="Arial" w:hAnsi="Arial" w:cs="Arial"/>
        </w:rPr>
        <w:t>developed by</w:t>
      </w:r>
      <w:r w:rsidR="00CA2F99" w:rsidRPr="00857D97">
        <w:rPr>
          <w:rFonts w:ascii="Arial" w:hAnsi="Arial" w:cs="Arial"/>
        </w:rPr>
        <w:t xml:space="preserve"> assum</w:t>
      </w:r>
      <w:r w:rsidR="00CA2F99">
        <w:rPr>
          <w:rFonts w:ascii="Arial" w:hAnsi="Arial" w:cs="Arial"/>
        </w:rPr>
        <w:t>ing</w:t>
      </w:r>
      <w:r w:rsidR="00CA2F99" w:rsidRPr="00857D97">
        <w:rPr>
          <w:rFonts w:ascii="Arial" w:hAnsi="Arial" w:cs="Arial"/>
        </w:rPr>
        <w:t xml:space="preserve"> that recreational catch was proportional to the </w:t>
      </w:r>
      <w:r w:rsidR="00CA2F99">
        <w:rPr>
          <w:rFonts w:ascii="Arial" w:hAnsi="Arial" w:cs="Arial"/>
        </w:rPr>
        <w:t xml:space="preserve">CRA 3 </w:t>
      </w:r>
      <w:r w:rsidR="00CA2F99" w:rsidRPr="00857D97">
        <w:rPr>
          <w:rFonts w:ascii="Arial" w:hAnsi="Arial" w:cs="Arial"/>
        </w:rPr>
        <w:t xml:space="preserve">spring-summer </w:t>
      </w:r>
      <w:r w:rsidR="00CA2F99">
        <w:rPr>
          <w:rFonts w:ascii="Arial" w:hAnsi="Arial" w:cs="Arial"/>
        </w:rPr>
        <w:t xml:space="preserve">abundance, as reflected by spring-summer </w:t>
      </w:r>
      <w:r w:rsidR="00CA2F99" w:rsidRPr="00857D97">
        <w:rPr>
          <w:rFonts w:ascii="Arial" w:hAnsi="Arial" w:cs="Arial"/>
        </w:rPr>
        <w:t xml:space="preserve">commercial CPUE for CRA 3. </w:t>
      </w:r>
    </w:p>
    <w:p w14:paraId="005DD15D" w14:textId="77777777" w:rsidR="004E2FCA" w:rsidRPr="004E2FCA" w:rsidRDefault="004E2FCA" w:rsidP="004E2FCA">
      <w:pPr>
        <w:pStyle w:val="ListParagraph"/>
        <w:rPr>
          <w:rFonts w:ascii="Arial" w:hAnsi="Arial" w:cs="Arial"/>
        </w:rPr>
      </w:pPr>
    </w:p>
    <w:p w14:paraId="0D164635" w14:textId="2A685A52" w:rsidR="00CA2F99" w:rsidRDefault="00CA2F99" w:rsidP="00CA2F99">
      <w:pPr>
        <w:pStyle w:val="ListParagraph"/>
        <w:numPr>
          <w:ilvl w:val="0"/>
          <w:numId w:val="26"/>
        </w:numPr>
        <w:spacing w:after="0" w:line="240" w:lineRule="auto"/>
        <w:ind w:left="567" w:hanging="567"/>
        <w:jc w:val="left"/>
        <w:rPr>
          <w:rFonts w:ascii="Arial" w:hAnsi="Arial" w:cs="Arial"/>
        </w:rPr>
      </w:pPr>
      <w:r w:rsidRPr="00857D97">
        <w:rPr>
          <w:rFonts w:ascii="Arial" w:hAnsi="Arial" w:cs="Arial"/>
        </w:rPr>
        <w:t>The resulting recreational catch trajectory showed a strong increasing trend from the early 1990s, exceeding 20 tonnes in the late 1990s, and then a strong decreasing trend in the early 2000s before an increase was seen in the late 2000s</w:t>
      </w:r>
      <w:r>
        <w:rPr>
          <w:rFonts w:ascii="Arial" w:hAnsi="Arial" w:cs="Arial"/>
        </w:rPr>
        <w:t>.</w:t>
      </w:r>
      <w:r w:rsidR="007440F3">
        <w:rPr>
          <w:rFonts w:ascii="Arial" w:hAnsi="Arial" w:cs="Arial"/>
        </w:rPr>
        <w:t xml:space="preserve"> I</w:t>
      </w:r>
      <w:r w:rsidR="00086289">
        <w:rPr>
          <w:rFonts w:ascii="Arial" w:hAnsi="Arial" w:cs="Arial"/>
        </w:rPr>
        <w:t>n 2013, the model estimate of recreational catch was 20.42 tonnes.</w:t>
      </w:r>
    </w:p>
    <w:p w14:paraId="2A902730" w14:textId="77777777" w:rsidR="00CA2F99" w:rsidRDefault="00CA2F99" w:rsidP="00CA2F99">
      <w:pPr>
        <w:pStyle w:val="ListParagraph"/>
        <w:spacing w:after="0" w:line="240" w:lineRule="auto"/>
        <w:ind w:left="567"/>
        <w:jc w:val="left"/>
        <w:rPr>
          <w:rFonts w:ascii="Arial" w:hAnsi="Arial" w:cs="Arial"/>
        </w:rPr>
      </w:pPr>
    </w:p>
    <w:p w14:paraId="773C1E4C" w14:textId="2C7B00EA" w:rsidR="00CA2F99" w:rsidRDefault="00CA2F99" w:rsidP="00CA2F99">
      <w:pPr>
        <w:pStyle w:val="ListParagraph"/>
        <w:numPr>
          <w:ilvl w:val="0"/>
          <w:numId w:val="26"/>
        </w:numPr>
        <w:spacing w:after="0" w:line="240" w:lineRule="auto"/>
        <w:ind w:left="567" w:hanging="567"/>
        <w:jc w:val="left"/>
        <w:rPr>
          <w:rFonts w:ascii="Arial" w:hAnsi="Arial" w:cs="Arial"/>
        </w:rPr>
      </w:pPr>
      <w:r>
        <w:rPr>
          <w:rFonts w:ascii="Arial" w:hAnsi="Arial" w:cs="Arial"/>
        </w:rPr>
        <w:t>The 2011 recreational catch estimate comes from the 2011/12 National Panel Survey, which estimated that the recreational catch of rock lobsters w</w:t>
      </w:r>
      <w:r>
        <w:rPr>
          <w:rFonts w:ascii="Arial" w:hAnsi="Arial" w:cs="Arial"/>
          <w:szCs w:val="24"/>
        </w:rPr>
        <w:t>as 8.07</w:t>
      </w:r>
      <w:r w:rsidRPr="00982C6D">
        <w:rPr>
          <w:rFonts w:ascii="Arial" w:hAnsi="Arial" w:cs="Arial"/>
          <w:szCs w:val="24"/>
        </w:rPr>
        <w:t xml:space="preserve"> tonnes</w:t>
      </w:r>
      <w:r w:rsidRPr="00982C6D">
        <w:rPr>
          <w:rStyle w:val="FootnoteReference"/>
          <w:rFonts w:ascii="Arial" w:eastAsiaTheme="majorEastAsia" w:hAnsi="Arial" w:cs="Arial"/>
          <w:szCs w:val="24"/>
        </w:rPr>
        <w:footnoteReference w:id="7"/>
      </w:r>
      <w:r w:rsidRPr="00982C6D">
        <w:rPr>
          <w:rFonts w:ascii="Arial" w:hAnsi="Arial" w:cs="Arial"/>
          <w:szCs w:val="24"/>
        </w:rPr>
        <w:t xml:space="preserve">. </w:t>
      </w:r>
      <w:r w:rsidR="00B91EAB">
        <w:rPr>
          <w:rFonts w:ascii="Arial" w:hAnsi="Arial" w:cs="Arial"/>
          <w:szCs w:val="24"/>
        </w:rPr>
        <w:t>There is considerable uncertainty in this</w:t>
      </w:r>
      <w:r w:rsidR="00E22B6D">
        <w:rPr>
          <w:rFonts w:ascii="Arial" w:hAnsi="Arial" w:cs="Arial"/>
          <w:szCs w:val="24"/>
        </w:rPr>
        <w:t xml:space="preserve"> estimate</w:t>
      </w:r>
      <w:r w:rsidR="00B91EAB">
        <w:rPr>
          <w:rFonts w:ascii="Arial" w:hAnsi="Arial" w:cs="Arial"/>
          <w:szCs w:val="24"/>
        </w:rPr>
        <w:t>.</w:t>
      </w:r>
    </w:p>
    <w:p w14:paraId="58633CD9" w14:textId="77777777" w:rsidR="00CA2F99" w:rsidRPr="006C4CA0" w:rsidRDefault="00CA2F99" w:rsidP="00CA2F99">
      <w:pPr>
        <w:contextualSpacing w:val="0"/>
        <w:rPr>
          <w:rFonts w:ascii="Arial" w:hAnsi="Arial" w:cs="Arial"/>
        </w:rPr>
      </w:pPr>
    </w:p>
    <w:p w14:paraId="722238C1" w14:textId="77777777" w:rsidR="00CA2F99" w:rsidRDefault="00CA2F99" w:rsidP="00CA2F99">
      <w:pPr>
        <w:keepNext/>
        <w:rPr>
          <w:rFonts w:ascii="Times New Roman" w:hAnsi="Times New Roman"/>
        </w:rPr>
      </w:pPr>
      <w:r w:rsidRPr="00576813">
        <w:rPr>
          <w:noProof/>
          <w:lang w:eastAsia="en-NZ"/>
        </w:rPr>
        <w:lastRenderedPageBreak/>
        <w:drawing>
          <wp:inline distT="0" distB="0" distL="0" distR="0" wp14:anchorId="5A32CD84" wp14:editId="6A0316D2">
            <wp:extent cx="4150360" cy="3021330"/>
            <wp:effectExtent l="0" t="0" r="2540" b="7620"/>
            <wp:docPr id="10" name="Picture 10" descr="CRA3recce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RA3reccetrajecto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0360" cy="3021330"/>
                    </a:xfrm>
                    <a:prstGeom prst="rect">
                      <a:avLst/>
                    </a:prstGeom>
                    <a:noFill/>
                    <a:ln>
                      <a:noFill/>
                    </a:ln>
                  </pic:spPr>
                </pic:pic>
              </a:graphicData>
            </a:graphic>
          </wp:inline>
        </w:drawing>
      </w:r>
    </w:p>
    <w:p w14:paraId="25E841D8" w14:textId="58A68380" w:rsidR="00CA2F99" w:rsidRPr="00853D93" w:rsidRDefault="00CA2F99" w:rsidP="00CA2F99">
      <w:pPr>
        <w:keepNext/>
        <w:rPr>
          <w:rFonts w:ascii="Arial Narrow" w:hAnsi="Arial Narrow"/>
          <w:b/>
          <w:sz w:val="22"/>
        </w:rPr>
      </w:pPr>
      <w:r w:rsidRPr="00A23906">
        <w:rPr>
          <w:rFonts w:ascii="Arial Narrow" w:hAnsi="Arial Narrow"/>
          <w:b/>
          <w:sz w:val="22"/>
        </w:rPr>
        <w:t xml:space="preserve">Figure </w:t>
      </w:r>
      <w:r w:rsidR="00756AD5">
        <w:rPr>
          <w:rFonts w:ascii="Arial Narrow" w:hAnsi="Arial Narrow"/>
          <w:b/>
          <w:sz w:val="22"/>
        </w:rPr>
        <w:t>2</w:t>
      </w:r>
      <w:r w:rsidRPr="00A23906">
        <w:rPr>
          <w:rFonts w:ascii="Arial Narrow" w:hAnsi="Arial Narrow"/>
          <w:b/>
          <w:sz w:val="22"/>
        </w:rPr>
        <w:t>:</w:t>
      </w:r>
      <w:r w:rsidRPr="00F1422F">
        <w:rPr>
          <w:rFonts w:ascii="Arial Narrow" w:hAnsi="Arial Narrow"/>
          <w:b/>
          <w:sz w:val="22"/>
        </w:rPr>
        <w:t xml:space="preserve"> Recreational</w:t>
      </w:r>
      <w:r w:rsidRPr="00853D93" w:rsidDel="00CD65B1">
        <w:rPr>
          <w:rFonts w:ascii="Arial Narrow" w:hAnsi="Arial Narrow"/>
          <w:b/>
          <w:sz w:val="22"/>
        </w:rPr>
        <w:t xml:space="preserve"> </w:t>
      </w:r>
      <w:r w:rsidRPr="00853D93">
        <w:rPr>
          <w:rFonts w:ascii="Arial Narrow" w:hAnsi="Arial Narrow"/>
          <w:b/>
          <w:sz w:val="22"/>
        </w:rPr>
        <w:t xml:space="preserve">catch trajectory (tonnes) for the 2014 stock assessment of CRA 3. The red dots </w:t>
      </w:r>
      <w:r w:rsidRPr="00E1727C">
        <w:rPr>
          <w:rFonts w:ascii="Arial Narrow" w:hAnsi="Arial Narrow"/>
          <w:b/>
          <w:sz w:val="22"/>
        </w:rPr>
        <w:t>are</w:t>
      </w:r>
      <w:r w:rsidRPr="000E51AE">
        <w:rPr>
          <w:rFonts w:ascii="Arial Narrow" w:hAnsi="Arial Narrow"/>
          <w:b/>
          <w:sz w:val="22"/>
        </w:rPr>
        <w:t xml:space="preserve"> the rec</w:t>
      </w:r>
      <w:r w:rsidRPr="00F1422F">
        <w:rPr>
          <w:rFonts w:ascii="Arial Narrow" w:hAnsi="Arial Narrow"/>
          <w:b/>
          <w:sz w:val="22"/>
        </w:rPr>
        <w:t>reational survey estimates</w:t>
      </w:r>
      <w:r w:rsidRPr="00853D93">
        <w:rPr>
          <w:rFonts w:ascii="Arial Narrow" w:hAnsi="Arial Narrow"/>
          <w:b/>
          <w:sz w:val="22"/>
        </w:rPr>
        <w:t xml:space="preserve"> from 1992, 1996 and 2011, </w:t>
      </w:r>
      <w:r w:rsidRPr="00E1727C">
        <w:rPr>
          <w:rFonts w:ascii="Arial Narrow" w:hAnsi="Arial Narrow"/>
          <w:b/>
          <w:sz w:val="22"/>
        </w:rPr>
        <w:t>the</w:t>
      </w:r>
      <w:r w:rsidRPr="000E51AE">
        <w:rPr>
          <w:rFonts w:ascii="Arial Narrow" w:hAnsi="Arial Narrow"/>
          <w:b/>
          <w:sz w:val="22"/>
        </w:rPr>
        <w:t xml:space="preserve"> solid black line </w:t>
      </w:r>
      <w:r w:rsidRPr="00F1422F">
        <w:rPr>
          <w:rFonts w:ascii="Arial Narrow" w:hAnsi="Arial Narrow"/>
          <w:b/>
          <w:sz w:val="22"/>
        </w:rPr>
        <w:t xml:space="preserve">is </w:t>
      </w:r>
      <w:r w:rsidRPr="00853D93">
        <w:rPr>
          <w:rFonts w:ascii="Arial Narrow" w:hAnsi="Arial Narrow"/>
          <w:b/>
          <w:sz w:val="22"/>
        </w:rPr>
        <w:t>the recreational catch trajectory, including section 111 catches</w:t>
      </w:r>
      <w:r w:rsidRPr="00853D93">
        <w:rPr>
          <w:rStyle w:val="FootnoteReference"/>
          <w:rFonts w:ascii="Arial Narrow" w:hAnsi="Arial Narrow"/>
          <w:b/>
          <w:sz w:val="22"/>
        </w:rPr>
        <w:footnoteReference w:id="8"/>
      </w:r>
      <w:r w:rsidRPr="00853D93">
        <w:rPr>
          <w:rFonts w:ascii="Arial Narrow" w:hAnsi="Arial Narrow"/>
          <w:b/>
          <w:sz w:val="22"/>
        </w:rPr>
        <w:t xml:space="preserve">, and the blue dashed line is the recreational catch estimate used in the 2008 stock assessment (a constant 20 tonnes). </w:t>
      </w:r>
    </w:p>
    <w:p w14:paraId="22E3829B" w14:textId="77777777" w:rsidR="00CA2F99" w:rsidRPr="00CA2F99" w:rsidRDefault="00CA2F99" w:rsidP="00CA2F99">
      <w:pPr>
        <w:rPr>
          <w:rFonts w:ascii="Arial" w:hAnsi="Arial" w:cs="Arial"/>
        </w:rPr>
      </w:pPr>
    </w:p>
    <w:p w14:paraId="0F24DCF4" w14:textId="77777777" w:rsidR="00CA2F99" w:rsidRPr="008E7BB4" w:rsidRDefault="00CA2F99" w:rsidP="00CA2F99">
      <w:pPr>
        <w:spacing w:before="240" w:after="60"/>
        <w:contextualSpacing w:val="0"/>
        <w:rPr>
          <w:rFonts w:ascii="Arial Narrow" w:hAnsi="Arial Narrow"/>
          <w:b/>
        </w:rPr>
      </w:pPr>
      <w:r>
        <w:rPr>
          <w:rFonts w:ascii="Arial Narrow" w:hAnsi="Arial Narrow"/>
          <w:b/>
        </w:rPr>
        <w:t>Other mortality</w:t>
      </w:r>
    </w:p>
    <w:p w14:paraId="7E689122" w14:textId="7E8D70C0" w:rsidR="002B427D" w:rsidRDefault="002B427D" w:rsidP="002B427D">
      <w:pPr>
        <w:pStyle w:val="ListParagraph"/>
        <w:numPr>
          <w:ilvl w:val="0"/>
          <w:numId w:val="26"/>
        </w:numPr>
        <w:spacing w:after="0" w:line="240" w:lineRule="auto"/>
        <w:ind w:left="567" w:hanging="567"/>
        <w:jc w:val="left"/>
        <w:rPr>
          <w:rFonts w:ascii="Arial" w:hAnsi="Arial" w:cs="Arial"/>
        </w:rPr>
      </w:pPr>
      <w:r w:rsidRPr="00857D97">
        <w:rPr>
          <w:rFonts w:ascii="Arial" w:hAnsi="Arial" w:cs="Arial"/>
        </w:rPr>
        <w:t xml:space="preserve">There </w:t>
      </w:r>
      <w:r>
        <w:rPr>
          <w:rFonts w:ascii="Arial" w:hAnsi="Arial" w:cs="Arial"/>
        </w:rPr>
        <w:t>are various potential other sources of mortality caused by fishing, such as illegal catch and handling mortality. It is difficult to get an accurate estimate of illegal catch given that illegal activity is not easily detected. However, t</w:t>
      </w:r>
      <w:r w:rsidRPr="00857D97">
        <w:rPr>
          <w:rFonts w:ascii="Arial" w:hAnsi="Arial" w:cs="Arial"/>
        </w:rPr>
        <w:t>he Rock Lobster Fisheries Assessment Working Group used available estimates from 1989 and a constant illegal catch of 89 tonnes per year from 2002 to 2013.</w:t>
      </w:r>
      <w:r w:rsidRPr="00793EE3">
        <w:rPr>
          <w:rFonts w:ascii="Arial" w:hAnsi="Arial" w:cs="Arial"/>
        </w:rPr>
        <w:t xml:space="preserve"> </w:t>
      </w:r>
    </w:p>
    <w:p w14:paraId="0A75B807" w14:textId="77777777" w:rsidR="00CA2F99" w:rsidRPr="008E7BB4" w:rsidRDefault="00CA2F99" w:rsidP="00CA2F99">
      <w:pPr>
        <w:spacing w:before="240" w:after="60"/>
        <w:contextualSpacing w:val="0"/>
        <w:rPr>
          <w:rFonts w:ascii="Arial Narrow" w:hAnsi="Arial Narrow"/>
          <w:b/>
        </w:rPr>
      </w:pPr>
      <w:r>
        <w:rPr>
          <w:rFonts w:ascii="Arial Narrow" w:hAnsi="Arial Narrow"/>
          <w:b/>
        </w:rPr>
        <w:t>Commercial fishing</w:t>
      </w:r>
    </w:p>
    <w:p w14:paraId="79CA138F" w14:textId="61EC831C" w:rsidR="004E2FCA" w:rsidRDefault="00CA2F99" w:rsidP="004E2FCA">
      <w:pPr>
        <w:pStyle w:val="ListParagraph"/>
        <w:numPr>
          <w:ilvl w:val="0"/>
          <w:numId w:val="26"/>
        </w:numPr>
        <w:spacing w:after="0" w:line="240" w:lineRule="auto"/>
        <w:ind w:left="567" w:hanging="567"/>
        <w:jc w:val="left"/>
        <w:rPr>
          <w:rFonts w:ascii="Arial" w:hAnsi="Arial" w:cs="Arial"/>
          <w:szCs w:val="24"/>
        </w:rPr>
      </w:pPr>
      <w:r>
        <w:rPr>
          <w:rFonts w:ascii="Arial" w:hAnsi="Arial" w:cs="Arial"/>
          <w:szCs w:val="24"/>
        </w:rPr>
        <w:t>Fisheries New Zealand estimates the current a</w:t>
      </w:r>
      <w:r w:rsidR="002B427D">
        <w:rPr>
          <w:rFonts w:ascii="Arial" w:hAnsi="Arial" w:cs="Arial"/>
          <w:szCs w:val="24"/>
        </w:rPr>
        <w:t>sset value of the CRA 3</w:t>
      </w:r>
      <w:r>
        <w:rPr>
          <w:rFonts w:ascii="Arial" w:hAnsi="Arial" w:cs="Arial"/>
          <w:szCs w:val="24"/>
        </w:rPr>
        <w:t xml:space="preserve"> </w:t>
      </w:r>
      <w:r w:rsidR="00E22B6D">
        <w:rPr>
          <w:rFonts w:ascii="Arial" w:hAnsi="Arial" w:cs="Arial"/>
          <w:szCs w:val="24"/>
        </w:rPr>
        <w:t xml:space="preserve">fishery </w:t>
      </w:r>
      <w:r>
        <w:rPr>
          <w:rFonts w:ascii="Arial" w:hAnsi="Arial" w:cs="Arial"/>
          <w:szCs w:val="24"/>
        </w:rPr>
        <w:t xml:space="preserve">to be </w:t>
      </w:r>
      <w:r w:rsidR="003978DD">
        <w:rPr>
          <w:rFonts w:ascii="Arial" w:hAnsi="Arial" w:cs="Arial"/>
          <w:szCs w:val="24"/>
        </w:rPr>
        <w:t>over $222</w:t>
      </w:r>
      <w:r>
        <w:rPr>
          <w:rFonts w:ascii="Arial" w:hAnsi="Arial" w:cs="Arial"/>
          <w:szCs w:val="24"/>
        </w:rPr>
        <w:t xml:space="preserve"> million based </w:t>
      </w:r>
      <w:r w:rsidR="003978DD">
        <w:rPr>
          <w:rFonts w:ascii="Arial" w:hAnsi="Arial" w:cs="Arial"/>
          <w:szCs w:val="24"/>
        </w:rPr>
        <w:t>on the current TACC and the 2017/18</w:t>
      </w:r>
      <w:r>
        <w:rPr>
          <w:rFonts w:ascii="Arial" w:hAnsi="Arial" w:cs="Arial"/>
          <w:szCs w:val="24"/>
        </w:rPr>
        <w:t xml:space="preserve"> </w:t>
      </w:r>
      <w:r w:rsidR="004E2FCA">
        <w:rPr>
          <w:rFonts w:ascii="Arial" w:hAnsi="Arial" w:cs="Arial"/>
          <w:szCs w:val="24"/>
        </w:rPr>
        <w:t xml:space="preserve">average </w:t>
      </w:r>
      <w:r>
        <w:rPr>
          <w:rFonts w:ascii="Arial" w:hAnsi="Arial" w:cs="Arial"/>
          <w:szCs w:val="24"/>
        </w:rPr>
        <w:t xml:space="preserve">quota share price. The average Annual Catch Entitlement (ACE) value (the earnings quota owners receive when </w:t>
      </w:r>
      <w:r w:rsidR="003978DD">
        <w:rPr>
          <w:rFonts w:ascii="Arial" w:hAnsi="Arial" w:cs="Arial"/>
          <w:szCs w:val="24"/>
        </w:rPr>
        <w:t>setting their ACE) for the 2017/18 fishing year was $50,515</w:t>
      </w:r>
      <w:r>
        <w:rPr>
          <w:rFonts w:ascii="Arial" w:hAnsi="Arial" w:cs="Arial"/>
          <w:szCs w:val="24"/>
        </w:rPr>
        <w:t xml:space="preserve"> per tonne f</w:t>
      </w:r>
      <w:r w:rsidR="002B427D">
        <w:rPr>
          <w:rFonts w:ascii="Arial" w:hAnsi="Arial" w:cs="Arial"/>
          <w:szCs w:val="24"/>
        </w:rPr>
        <w:t>or CRA 3</w:t>
      </w:r>
      <w:r>
        <w:rPr>
          <w:rFonts w:ascii="Arial" w:hAnsi="Arial" w:cs="Arial"/>
          <w:szCs w:val="24"/>
        </w:rPr>
        <w:t>.</w:t>
      </w:r>
    </w:p>
    <w:p w14:paraId="1CF49AFD" w14:textId="77777777" w:rsidR="00EC1D35" w:rsidRDefault="00EC1D35" w:rsidP="00EC1D35">
      <w:pPr>
        <w:pStyle w:val="ListParagraph"/>
        <w:spacing w:after="0" w:line="240" w:lineRule="auto"/>
        <w:ind w:left="567"/>
        <w:jc w:val="left"/>
        <w:rPr>
          <w:rFonts w:ascii="Arial" w:hAnsi="Arial" w:cs="Arial"/>
          <w:szCs w:val="24"/>
        </w:rPr>
      </w:pPr>
    </w:p>
    <w:p w14:paraId="658F0DBE" w14:textId="1D01B944" w:rsidR="002B427D" w:rsidRDefault="002B427D" w:rsidP="002B427D">
      <w:pPr>
        <w:pStyle w:val="ListParagraph"/>
        <w:numPr>
          <w:ilvl w:val="0"/>
          <w:numId w:val="26"/>
        </w:numPr>
        <w:spacing w:after="0" w:line="240" w:lineRule="auto"/>
        <w:ind w:left="567" w:hanging="567"/>
        <w:jc w:val="left"/>
        <w:rPr>
          <w:rFonts w:ascii="Arial" w:hAnsi="Arial" w:cs="Arial"/>
        </w:rPr>
      </w:pPr>
      <w:r>
        <w:rPr>
          <w:rFonts w:ascii="Arial" w:hAnsi="Arial" w:cs="Arial"/>
        </w:rPr>
        <w:t xml:space="preserve">Annual landings and the TACC for CRA 3 since 1990 are shown in Figure </w:t>
      </w:r>
      <w:r w:rsidR="00756AD5">
        <w:rPr>
          <w:rFonts w:ascii="Arial" w:hAnsi="Arial" w:cs="Arial"/>
        </w:rPr>
        <w:t>3</w:t>
      </w:r>
      <w:r w:rsidR="00E22B6D">
        <w:rPr>
          <w:rStyle w:val="FootnoteReference"/>
          <w:rFonts w:ascii="Arial" w:hAnsi="Arial" w:cs="Arial"/>
        </w:rPr>
        <w:footnoteReference w:id="9"/>
      </w:r>
      <w:r>
        <w:rPr>
          <w:rFonts w:ascii="Arial" w:hAnsi="Arial" w:cs="Arial"/>
        </w:rPr>
        <w:t xml:space="preserve">. </w:t>
      </w:r>
      <w:r w:rsidR="00E22B6D">
        <w:rPr>
          <w:rFonts w:ascii="Arial" w:hAnsi="Arial" w:cs="Arial"/>
        </w:rPr>
        <w:t>Prior to 1995, there was a New Zealand wide stock assessment with catches apportioned to each Quota Management A</w:t>
      </w:r>
      <w:r w:rsidR="00161ED0">
        <w:rPr>
          <w:rFonts w:ascii="Arial" w:hAnsi="Arial" w:cs="Arial"/>
        </w:rPr>
        <w:t>rea</w:t>
      </w:r>
      <w:r w:rsidR="00E22B6D">
        <w:rPr>
          <w:rFonts w:ascii="Arial" w:hAnsi="Arial" w:cs="Arial"/>
        </w:rPr>
        <w:t xml:space="preserve">, and TACCs were not set on an annual basis to reflect available abundance. </w:t>
      </w:r>
      <w:r>
        <w:rPr>
          <w:rFonts w:ascii="Arial" w:hAnsi="Arial" w:cs="Arial"/>
        </w:rPr>
        <w:t xml:space="preserve">Since 2010, a management procedure has been used in CRA 3 to annually review the TACC to ensure </w:t>
      </w:r>
      <w:r w:rsidR="00E56A94">
        <w:rPr>
          <w:rFonts w:ascii="Arial" w:hAnsi="Arial" w:cs="Arial"/>
        </w:rPr>
        <w:t xml:space="preserve">that </w:t>
      </w:r>
      <w:r>
        <w:rPr>
          <w:rFonts w:ascii="Arial" w:hAnsi="Arial" w:cs="Arial"/>
        </w:rPr>
        <w:t>catches reflect available abundance.</w:t>
      </w:r>
    </w:p>
    <w:p w14:paraId="2B57ABA7" w14:textId="77777777" w:rsidR="002B427D" w:rsidRPr="00DC691A" w:rsidRDefault="002B427D" w:rsidP="002B427D">
      <w:pPr>
        <w:keepNext/>
        <w:ind w:left="360"/>
        <w:rPr>
          <w:rFonts w:ascii="Arial" w:hAnsi="Arial" w:cs="Arial"/>
        </w:rPr>
      </w:pPr>
      <w:r>
        <w:rPr>
          <w:noProof/>
          <w:lang w:eastAsia="en-NZ"/>
        </w:rPr>
        <w:lastRenderedPageBreak/>
        <w:drawing>
          <wp:inline distT="0" distB="0" distL="0" distR="0" wp14:anchorId="6A0894DB" wp14:editId="6643960F">
            <wp:extent cx="5731510" cy="2452209"/>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A3.jpeg"/>
                    <pic:cNvPicPr/>
                  </pic:nvPicPr>
                  <pic:blipFill>
                    <a:blip r:embed="rId27">
                      <a:extLst>
                        <a:ext uri="{28A0092B-C50C-407E-A947-70E740481C1C}">
                          <a14:useLocalDpi xmlns:a14="http://schemas.microsoft.com/office/drawing/2010/main" val="0"/>
                        </a:ext>
                      </a:extLst>
                    </a:blip>
                    <a:stretch>
                      <a:fillRect/>
                    </a:stretch>
                  </pic:blipFill>
                  <pic:spPr>
                    <a:xfrm>
                      <a:off x="0" y="0"/>
                      <a:ext cx="5731510" cy="2452209"/>
                    </a:xfrm>
                    <a:prstGeom prst="rect">
                      <a:avLst/>
                    </a:prstGeom>
                  </pic:spPr>
                </pic:pic>
              </a:graphicData>
            </a:graphic>
          </wp:inline>
        </w:drawing>
      </w:r>
    </w:p>
    <w:p w14:paraId="5D60F28B" w14:textId="47D58853" w:rsidR="002B427D" w:rsidRPr="00DC691A" w:rsidRDefault="00756AD5" w:rsidP="002B427D">
      <w:pPr>
        <w:pStyle w:val="ListParagraph"/>
        <w:keepNext/>
        <w:spacing w:before="120" w:after="0" w:line="240" w:lineRule="auto"/>
        <w:ind w:left="0"/>
        <w:contextualSpacing w:val="0"/>
        <w:rPr>
          <w:rFonts w:ascii="Arial Narrow" w:hAnsi="Arial Narrow"/>
          <w:b/>
        </w:rPr>
      </w:pPr>
      <w:r>
        <w:rPr>
          <w:rFonts w:ascii="Arial Narrow" w:hAnsi="Arial Narrow"/>
          <w:b/>
        </w:rPr>
        <w:t>Figure 3</w:t>
      </w:r>
      <w:r w:rsidR="002B427D" w:rsidRPr="00DC691A">
        <w:rPr>
          <w:rFonts w:ascii="Arial Narrow" w:hAnsi="Arial Narrow"/>
          <w:b/>
        </w:rPr>
        <w:t>: CRA 3 commercial landings</w:t>
      </w:r>
      <w:r w:rsidR="007440F3">
        <w:rPr>
          <w:rFonts w:ascii="Arial Narrow" w:hAnsi="Arial Narrow"/>
          <w:b/>
        </w:rPr>
        <w:t xml:space="preserve"> and the TACCs from 1990 to 2018</w:t>
      </w:r>
      <w:r w:rsidR="002B427D" w:rsidRPr="00DC691A">
        <w:rPr>
          <w:rFonts w:ascii="Arial Narrow" w:hAnsi="Arial Narrow"/>
          <w:b/>
        </w:rPr>
        <w:t>.</w:t>
      </w:r>
    </w:p>
    <w:p w14:paraId="76F5A1BD" w14:textId="77777777" w:rsidR="002B427D" w:rsidRPr="003E3C7B" w:rsidRDefault="002B427D" w:rsidP="002B427D">
      <w:pPr>
        <w:rPr>
          <w:rFonts w:ascii="Arial" w:hAnsi="Arial" w:cs="Arial"/>
          <w:sz w:val="22"/>
          <w:szCs w:val="22"/>
        </w:rPr>
      </w:pPr>
    </w:p>
    <w:p w14:paraId="0060E61E" w14:textId="77777777" w:rsidR="000B0A46" w:rsidRDefault="000B0A46" w:rsidP="000B0A46">
      <w:pPr>
        <w:pStyle w:val="Heading2"/>
        <w:spacing w:after="60"/>
      </w:pPr>
      <w:bookmarkStart w:id="60" w:name="_Toc532471886"/>
      <w:r>
        <w:t>CRA 3 Stock Status</w:t>
      </w:r>
      <w:bookmarkEnd w:id="57"/>
      <w:bookmarkEnd w:id="58"/>
      <w:bookmarkEnd w:id="59"/>
      <w:bookmarkEnd w:id="60"/>
    </w:p>
    <w:p w14:paraId="6D4C18C8" w14:textId="77777777" w:rsidR="007440F3" w:rsidRDefault="000B0A46" w:rsidP="007440F3">
      <w:pPr>
        <w:pStyle w:val="ListParagraph"/>
        <w:numPr>
          <w:ilvl w:val="0"/>
          <w:numId w:val="26"/>
        </w:numPr>
        <w:spacing w:after="0" w:line="240" w:lineRule="auto"/>
        <w:ind w:left="567" w:hanging="567"/>
        <w:jc w:val="left"/>
        <w:rPr>
          <w:rFonts w:ascii="Arial" w:hAnsi="Arial" w:cs="Arial"/>
          <w:szCs w:val="24"/>
        </w:rPr>
      </w:pPr>
      <w:r w:rsidRPr="00857D97">
        <w:rPr>
          <w:rFonts w:ascii="Arial" w:hAnsi="Arial" w:cs="Arial"/>
          <w:szCs w:val="24"/>
        </w:rPr>
        <w:t>The results of the most recent CRA 3 stock assessment conducted in 2014 suggest</w:t>
      </w:r>
      <w:r w:rsidR="00A76179">
        <w:rPr>
          <w:rFonts w:ascii="Arial" w:hAnsi="Arial" w:cs="Arial"/>
          <w:szCs w:val="24"/>
        </w:rPr>
        <w:t>ed</w:t>
      </w:r>
      <w:r w:rsidRPr="00857D97">
        <w:rPr>
          <w:rFonts w:ascii="Arial" w:hAnsi="Arial" w:cs="Arial"/>
          <w:szCs w:val="24"/>
        </w:rPr>
        <w:t xml:space="preserve"> there </w:t>
      </w:r>
      <w:r w:rsidR="00A76179">
        <w:rPr>
          <w:rFonts w:ascii="Arial" w:hAnsi="Arial" w:cs="Arial"/>
          <w:szCs w:val="24"/>
        </w:rPr>
        <w:t>we</w:t>
      </w:r>
      <w:r w:rsidRPr="00857D97">
        <w:rPr>
          <w:rFonts w:ascii="Arial" w:hAnsi="Arial" w:cs="Arial"/>
          <w:szCs w:val="24"/>
        </w:rPr>
        <w:t xml:space="preserve">re no sustainability concerns for the CRA 3 fishery. 2013 biomass was well above both </w:t>
      </w:r>
      <w:r w:rsidRPr="00857D97">
        <w:rPr>
          <w:rFonts w:ascii="Arial" w:hAnsi="Arial" w:cs="Arial"/>
          <w:i/>
          <w:szCs w:val="24"/>
        </w:rPr>
        <w:t>B</w:t>
      </w:r>
      <w:r w:rsidRPr="00857D97">
        <w:rPr>
          <w:rFonts w:ascii="Arial" w:hAnsi="Arial" w:cs="Arial"/>
          <w:i/>
          <w:szCs w:val="24"/>
          <w:vertAlign w:val="subscript"/>
        </w:rPr>
        <w:t>MSY</w:t>
      </w:r>
      <w:r w:rsidRPr="00857D97">
        <w:rPr>
          <w:rFonts w:ascii="Arial" w:hAnsi="Arial" w:cs="Arial"/>
          <w:szCs w:val="24"/>
        </w:rPr>
        <w:t xml:space="preserve"> (3.3 to 4.7 times) and </w:t>
      </w:r>
      <w:r w:rsidRPr="00857D97">
        <w:rPr>
          <w:rFonts w:ascii="Arial" w:hAnsi="Arial" w:cs="Arial"/>
          <w:i/>
          <w:szCs w:val="24"/>
        </w:rPr>
        <w:t>B</w:t>
      </w:r>
      <w:r w:rsidRPr="00857D97">
        <w:rPr>
          <w:rFonts w:ascii="Arial" w:hAnsi="Arial" w:cs="Arial"/>
          <w:i/>
          <w:szCs w:val="24"/>
          <w:vertAlign w:val="subscript"/>
        </w:rPr>
        <w:t>MIN</w:t>
      </w:r>
      <w:r w:rsidRPr="00857D97">
        <w:rPr>
          <w:rFonts w:ascii="Arial" w:hAnsi="Arial" w:cs="Arial"/>
          <w:szCs w:val="24"/>
        </w:rPr>
        <w:t xml:space="preserve"> (3.0 to 3.6 times)</w:t>
      </w:r>
      <w:r w:rsidRPr="00857D97">
        <w:rPr>
          <w:rStyle w:val="FootnoteReference"/>
          <w:rFonts w:ascii="Arial" w:eastAsiaTheme="majorEastAsia" w:hAnsi="Arial" w:cs="Arial"/>
          <w:szCs w:val="24"/>
        </w:rPr>
        <w:footnoteReference w:id="10"/>
      </w:r>
      <w:r w:rsidRPr="00857D97">
        <w:rPr>
          <w:rFonts w:ascii="Arial" w:hAnsi="Arial" w:cs="Arial"/>
          <w:szCs w:val="24"/>
        </w:rPr>
        <w:t>. Spawning stock biomass in 2013 was 70-107% of the unfished level.</w:t>
      </w:r>
    </w:p>
    <w:p w14:paraId="40DCFBFF" w14:textId="77777777" w:rsidR="007440F3" w:rsidRDefault="007440F3" w:rsidP="007440F3">
      <w:pPr>
        <w:pStyle w:val="ListParagraph"/>
        <w:spacing w:after="0" w:line="240" w:lineRule="auto"/>
        <w:ind w:left="567"/>
        <w:jc w:val="left"/>
        <w:rPr>
          <w:rFonts w:ascii="Arial" w:hAnsi="Arial" w:cs="Arial"/>
          <w:szCs w:val="24"/>
        </w:rPr>
      </w:pPr>
    </w:p>
    <w:p w14:paraId="72F1CFF4" w14:textId="1B5FAF83" w:rsidR="00C8258C" w:rsidRPr="007440F3" w:rsidRDefault="000B0A46" w:rsidP="007440F3">
      <w:pPr>
        <w:pStyle w:val="ListParagraph"/>
        <w:numPr>
          <w:ilvl w:val="0"/>
          <w:numId w:val="26"/>
        </w:numPr>
        <w:spacing w:after="0" w:line="240" w:lineRule="auto"/>
        <w:ind w:left="567" w:hanging="567"/>
        <w:jc w:val="left"/>
        <w:rPr>
          <w:rFonts w:ascii="Arial" w:hAnsi="Arial" w:cs="Arial"/>
          <w:szCs w:val="24"/>
        </w:rPr>
      </w:pPr>
      <w:r w:rsidRPr="007440F3">
        <w:rPr>
          <w:rFonts w:ascii="Arial" w:hAnsi="Arial" w:cs="Arial"/>
          <w:szCs w:val="24"/>
        </w:rPr>
        <w:t>With 2013 catch levels and recent recruitments, biomass was projected to decline by 15-31% by 2017, but would remain well above reference points.</w:t>
      </w:r>
    </w:p>
    <w:p w14:paraId="0BB36472" w14:textId="77777777" w:rsidR="00C8258C" w:rsidRPr="00857D97" w:rsidRDefault="00C8258C" w:rsidP="00857D97">
      <w:pPr>
        <w:pStyle w:val="ListParagraph"/>
        <w:spacing w:after="0" w:line="240" w:lineRule="auto"/>
        <w:ind w:left="567" w:hanging="567"/>
        <w:jc w:val="left"/>
        <w:rPr>
          <w:rFonts w:ascii="Arial" w:hAnsi="Arial" w:cs="Arial"/>
          <w:szCs w:val="24"/>
        </w:rPr>
      </w:pPr>
    </w:p>
    <w:p w14:paraId="4F4680DC" w14:textId="5B1F811E" w:rsidR="000B0A46" w:rsidRPr="00857D97" w:rsidRDefault="000B0A46" w:rsidP="00756AD5">
      <w:pPr>
        <w:pStyle w:val="ListParagraph"/>
        <w:numPr>
          <w:ilvl w:val="0"/>
          <w:numId w:val="26"/>
        </w:numPr>
        <w:spacing w:after="120" w:line="240" w:lineRule="auto"/>
        <w:ind w:left="567" w:hanging="567"/>
        <w:contextualSpacing w:val="0"/>
        <w:jc w:val="left"/>
        <w:rPr>
          <w:rFonts w:ascii="Arial" w:hAnsi="Arial" w:cs="Arial"/>
          <w:szCs w:val="24"/>
        </w:rPr>
      </w:pPr>
      <w:r w:rsidRPr="00857D97">
        <w:rPr>
          <w:rFonts w:ascii="Arial" w:hAnsi="Arial" w:cs="Arial"/>
          <w:szCs w:val="24"/>
        </w:rPr>
        <w:t xml:space="preserve">Standardised CPUE is considered to be a reliable indicator of relative stock size in CRA 3 and is the abundance indicator used in the CRA 3 management procedure. The history of offset year (i.e. October through September) CRA 3 commercial CPUE is shown in Figure </w:t>
      </w:r>
      <w:r w:rsidR="00756AD5">
        <w:rPr>
          <w:rFonts w:ascii="Arial" w:hAnsi="Arial" w:cs="Arial"/>
          <w:szCs w:val="24"/>
        </w:rPr>
        <w:t>4</w:t>
      </w:r>
      <w:r w:rsidRPr="00857D97">
        <w:rPr>
          <w:rFonts w:ascii="Arial" w:hAnsi="Arial" w:cs="Arial"/>
          <w:szCs w:val="24"/>
        </w:rPr>
        <w:t>. CPUE increased from 20</w:t>
      </w:r>
      <w:r w:rsidR="00DB2902">
        <w:rPr>
          <w:rFonts w:ascii="Arial" w:hAnsi="Arial" w:cs="Arial"/>
          <w:szCs w:val="24"/>
        </w:rPr>
        <w:t xml:space="preserve">08 to 2012, then </w:t>
      </w:r>
      <w:r w:rsidRPr="00857D97">
        <w:rPr>
          <w:rFonts w:ascii="Arial" w:hAnsi="Arial" w:cs="Arial"/>
          <w:szCs w:val="24"/>
        </w:rPr>
        <w:t>declined</w:t>
      </w:r>
      <w:r w:rsidR="00DB2902">
        <w:rPr>
          <w:rFonts w:ascii="Arial" w:hAnsi="Arial" w:cs="Arial"/>
          <w:szCs w:val="24"/>
        </w:rPr>
        <w:t xml:space="preserve"> but remains relatively high</w:t>
      </w:r>
      <w:r w:rsidRPr="00857D97">
        <w:rPr>
          <w:rFonts w:ascii="Arial" w:hAnsi="Arial" w:cs="Arial"/>
          <w:szCs w:val="24"/>
        </w:rPr>
        <w:t>.</w:t>
      </w:r>
      <w:r w:rsidR="00F351FD">
        <w:rPr>
          <w:rFonts w:ascii="Arial" w:hAnsi="Arial" w:cs="Arial"/>
          <w:szCs w:val="24"/>
        </w:rPr>
        <w:t xml:space="preserve"> CPU</w:t>
      </w:r>
      <w:r w:rsidR="001755D7">
        <w:rPr>
          <w:rFonts w:ascii="Arial" w:hAnsi="Arial" w:cs="Arial"/>
          <w:szCs w:val="24"/>
        </w:rPr>
        <w:t xml:space="preserve">E in 2018 is lower than that in </w:t>
      </w:r>
      <w:r w:rsidR="00F351FD">
        <w:rPr>
          <w:rFonts w:ascii="Arial" w:hAnsi="Arial" w:cs="Arial"/>
          <w:szCs w:val="24"/>
        </w:rPr>
        <w:t xml:space="preserve">2014 by about 30%, </w:t>
      </w:r>
      <w:r w:rsidR="00DB2902">
        <w:rPr>
          <w:rFonts w:ascii="Arial" w:hAnsi="Arial" w:cs="Arial"/>
          <w:szCs w:val="24"/>
        </w:rPr>
        <w:t xml:space="preserve">however </w:t>
      </w:r>
      <w:r w:rsidR="00F351FD">
        <w:rPr>
          <w:rFonts w:ascii="Arial" w:hAnsi="Arial" w:cs="Arial"/>
          <w:szCs w:val="24"/>
        </w:rPr>
        <w:t xml:space="preserve">stock biomass is still very likely to be above </w:t>
      </w:r>
      <w:r w:rsidR="00F351FD" w:rsidRPr="00857D97">
        <w:rPr>
          <w:rFonts w:ascii="Arial" w:hAnsi="Arial" w:cs="Arial"/>
          <w:i/>
          <w:szCs w:val="24"/>
        </w:rPr>
        <w:t>B</w:t>
      </w:r>
      <w:r w:rsidR="00F351FD" w:rsidRPr="00857D97">
        <w:rPr>
          <w:rFonts w:ascii="Arial" w:hAnsi="Arial" w:cs="Arial"/>
          <w:i/>
          <w:szCs w:val="24"/>
          <w:vertAlign w:val="subscript"/>
        </w:rPr>
        <w:t>MSY</w:t>
      </w:r>
      <w:r w:rsidR="00F351FD">
        <w:rPr>
          <w:rFonts w:ascii="Arial" w:hAnsi="Arial" w:cs="Arial"/>
          <w:szCs w:val="24"/>
        </w:rPr>
        <w:t>.</w:t>
      </w:r>
    </w:p>
    <w:p w14:paraId="134D9067" w14:textId="2D5567F9" w:rsidR="000B0A46" w:rsidRDefault="00E56A94" w:rsidP="000B0A46">
      <w:pPr>
        <w:rPr>
          <w:rFonts w:ascii="Times New Roman" w:hAnsi="Times New Roman"/>
        </w:rPr>
      </w:pPr>
      <w:r w:rsidRPr="00E56A94">
        <w:rPr>
          <w:noProof/>
          <w:lang w:eastAsia="en-NZ"/>
        </w:rPr>
        <w:lastRenderedPageBreak/>
        <w:drawing>
          <wp:inline distT="0" distB="0" distL="0" distR="0" wp14:anchorId="377047A0" wp14:editId="06C569B7">
            <wp:extent cx="5731510" cy="34385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438525"/>
                    </a:xfrm>
                    <a:prstGeom prst="rect">
                      <a:avLst/>
                    </a:prstGeom>
                  </pic:spPr>
                </pic:pic>
              </a:graphicData>
            </a:graphic>
          </wp:inline>
        </w:drawing>
      </w:r>
    </w:p>
    <w:p w14:paraId="21A975F8" w14:textId="1B727FB9" w:rsidR="000B0A46" w:rsidRPr="00853D93" w:rsidRDefault="000B0A46" w:rsidP="00793EE3">
      <w:pPr>
        <w:spacing w:before="120"/>
        <w:contextualSpacing w:val="0"/>
        <w:rPr>
          <w:rFonts w:ascii="Arial Narrow" w:hAnsi="Arial Narrow"/>
          <w:b/>
          <w:sz w:val="22"/>
        </w:rPr>
      </w:pPr>
      <w:r w:rsidRPr="000E51AE">
        <w:rPr>
          <w:rFonts w:ascii="Arial Narrow" w:hAnsi="Arial Narrow"/>
          <w:b/>
          <w:sz w:val="22"/>
        </w:rPr>
        <w:t xml:space="preserve">Figure </w:t>
      </w:r>
      <w:r w:rsidR="00756AD5">
        <w:rPr>
          <w:rFonts w:ascii="Arial Narrow" w:hAnsi="Arial Narrow"/>
          <w:b/>
          <w:sz w:val="22"/>
        </w:rPr>
        <w:t>4</w:t>
      </w:r>
      <w:r w:rsidRPr="000E51AE">
        <w:rPr>
          <w:rFonts w:ascii="Arial Narrow" w:hAnsi="Arial Narrow"/>
          <w:b/>
          <w:sz w:val="22"/>
        </w:rPr>
        <w:t xml:space="preserve">: </w:t>
      </w:r>
      <w:r w:rsidR="000D38A6" w:rsidRPr="00F1422F">
        <w:rPr>
          <w:rFonts w:ascii="Arial Narrow" w:hAnsi="Arial Narrow"/>
          <w:b/>
          <w:sz w:val="22"/>
        </w:rPr>
        <w:t xml:space="preserve">CRA 3 CPUE </w:t>
      </w:r>
      <w:r w:rsidR="00AE6D2B" w:rsidRPr="00853D93">
        <w:rPr>
          <w:rFonts w:ascii="Arial Narrow" w:hAnsi="Arial Narrow"/>
          <w:b/>
          <w:sz w:val="22"/>
        </w:rPr>
        <w:t>from 19</w:t>
      </w:r>
      <w:r w:rsidR="00CE3A4C" w:rsidRPr="00853D93">
        <w:rPr>
          <w:rFonts w:ascii="Arial Narrow" w:hAnsi="Arial Narrow"/>
          <w:b/>
          <w:sz w:val="22"/>
        </w:rPr>
        <w:t>80</w:t>
      </w:r>
      <w:r w:rsidR="00AE6D2B" w:rsidRPr="00853D93">
        <w:rPr>
          <w:rFonts w:ascii="Arial Narrow" w:hAnsi="Arial Narrow"/>
          <w:b/>
          <w:sz w:val="22"/>
        </w:rPr>
        <w:t xml:space="preserve"> </w:t>
      </w:r>
      <w:r w:rsidR="00AE6D2B" w:rsidRPr="00E1727C">
        <w:rPr>
          <w:rFonts w:ascii="Arial Narrow" w:hAnsi="Arial Narrow"/>
          <w:b/>
          <w:sz w:val="22"/>
        </w:rPr>
        <w:t>t</w:t>
      </w:r>
      <w:r w:rsidR="003B5A12" w:rsidRPr="00E1727C">
        <w:rPr>
          <w:rFonts w:ascii="Arial Narrow" w:hAnsi="Arial Narrow"/>
          <w:b/>
          <w:sz w:val="22"/>
        </w:rPr>
        <w:t>o</w:t>
      </w:r>
      <w:r w:rsidR="00AE6D2B" w:rsidRPr="000E51AE">
        <w:rPr>
          <w:rFonts w:ascii="Arial Narrow" w:hAnsi="Arial Narrow"/>
          <w:b/>
          <w:sz w:val="22"/>
        </w:rPr>
        <w:t xml:space="preserve"> 2018 </w:t>
      </w:r>
      <w:r w:rsidR="000D38A6" w:rsidRPr="00F1422F">
        <w:rPr>
          <w:rFonts w:ascii="Arial Narrow" w:hAnsi="Arial Narrow"/>
          <w:b/>
          <w:sz w:val="22"/>
        </w:rPr>
        <w:t>(kg/potlift).</w:t>
      </w:r>
    </w:p>
    <w:p w14:paraId="7D1F678F" w14:textId="77777777" w:rsidR="000B0A46" w:rsidRDefault="000B0A46" w:rsidP="000B0A46">
      <w:pPr>
        <w:rPr>
          <w:rFonts w:ascii="Arial" w:hAnsi="Arial" w:cs="Arial"/>
          <w:sz w:val="22"/>
          <w:szCs w:val="22"/>
        </w:rPr>
      </w:pPr>
    </w:p>
    <w:p w14:paraId="57907DDB" w14:textId="2DD9579E" w:rsidR="002B427D" w:rsidRDefault="002B427D" w:rsidP="002B427D">
      <w:pPr>
        <w:pStyle w:val="Heading2"/>
        <w:spacing w:after="60"/>
      </w:pPr>
      <w:bookmarkStart w:id="61" w:name="_Toc532471887"/>
      <w:r>
        <w:t>the current cRA 3 management procedure</w:t>
      </w:r>
      <w:bookmarkEnd w:id="61"/>
    </w:p>
    <w:p w14:paraId="5B3BA2CE" w14:textId="77777777" w:rsidR="00E22B6D" w:rsidRDefault="00E22B6D" w:rsidP="002B427D">
      <w:pPr>
        <w:pStyle w:val="ListParagraph"/>
        <w:numPr>
          <w:ilvl w:val="0"/>
          <w:numId w:val="26"/>
        </w:numPr>
        <w:spacing w:after="0" w:line="240" w:lineRule="auto"/>
        <w:ind w:left="567" w:hanging="567"/>
        <w:jc w:val="left"/>
        <w:rPr>
          <w:rFonts w:ascii="Arial" w:hAnsi="Arial" w:cs="Arial"/>
        </w:rPr>
      </w:pPr>
      <w:r>
        <w:rPr>
          <w:rFonts w:ascii="Arial" w:hAnsi="Arial" w:cs="Arial"/>
        </w:rPr>
        <w:t xml:space="preserve">The </w:t>
      </w:r>
      <w:r w:rsidR="002B427D">
        <w:rPr>
          <w:rFonts w:ascii="Arial" w:hAnsi="Arial" w:cs="Arial"/>
        </w:rPr>
        <w:t xml:space="preserve">Government agreed to use the current CRA 3 management procedure </w:t>
      </w:r>
      <w:r w:rsidR="004E2FCA">
        <w:rPr>
          <w:rFonts w:ascii="Arial" w:hAnsi="Arial" w:cs="Arial"/>
        </w:rPr>
        <w:t xml:space="preserve">in 2015 </w:t>
      </w:r>
      <w:r w:rsidR="002B427D">
        <w:rPr>
          <w:rFonts w:ascii="Arial" w:hAnsi="Arial" w:cs="Arial"/>
        </w:rPr>
        <w:t xml:space="preserve">to </w:t>
      </w:r>
      <w:r w:rsidR="004E2FCA">
        <w:rPr>
          <w:rFonts w:ascii="Arial" w:hAnsi="Arial" w:cs="Arial"/>
        </w:rPr>
        <w:t xml:space="preserve">form the basis for management action to </w:t>
      </w:r>
      <w:r w:rsidR="002B427D">
        <w:rPr>
          <w:rFonts w:ascii="Arial" w:hAnsi="Arial" w:cs="Arial"/>
        </w:rPr>
        <w:t xml:space="preserve">the 2020/21 fishing year. </w:t>
      </w:r>
      <w:r w:rsidR="002B427D" w:rsidRPr="00982C6D">
        <w:rPr>
          <w:rFonts w:ascii="Arial" w:hAnsi="Arial" w:cs="Arial"/>
        </w:rPr>
        <w:t>A graphical representation of the CRA 3 management procedure is provided in Figure</w:t>
      </w:r>
      <w:r w:rsidR="002B427D">
        <w:rPr>
          <w:rFonts w:ascii="Arial" w:hAnsi="Arial" w:cs="Arial"/>
        </w:rPr>
        <w:t> 5</w:t>
      </w:r>
      <w:r w:rsidR="002B427D" w:rsidRPr="00982C6D">
        <w:rPr>
          <w:rFonts w:ascii="Arial" w:hAnsi="Arial" w:cs="Arial"/>
        </w:rPr>
        <w:t xml:space="preserve">. The graph shows the proposed TACC for the next year as a function of CPUE in the current year. </w:t>
      </w:r>
    </w:p>
    <w:p w14:paraId="7CF5D1D4" w14:textId="77777777" w:rsidR="00E22B6D" w:rsidRDefault="00E22B6D" w:rsidP="00E22B6D">
      <w:pPr>
        <w:pStyle w:val="ListParagraph"/>
        <w:spacing w:after="0" w:line="240" w:lineRule="auto"/>
        <w:ind w:left="567"/>
        <w:jc w:val="left"/>
        <w:rPr>
          <w:rFonts w:ascii="Arial" w:hAnsi="Arial" w:cs="Arial"/>
        </w:rPr>
      </w:pPr>
    </w:p>
    <w:p w14:paraId="7BBC10D3" w14:textId="19E18D48" w:rsidR="002B427D" w:rsidRPr="00982C6D" w:rsidRDefault="002B427D" w:rsidP="002B427D">
      <w:pPr>
        <w:pStyle w:val="ListParagraph"/>
        <w:numPr>
          <w:ilvl w:val="0"/>
          <w:numId w:val="26"/>
        </w:numPr>
        <w:spacing w:after="0" w:line="240" w:lineRule="auto"/>
        <w:ind w:left="567" w:hanging="567"/>
        <w:jc w:val="left"/>
        <w:rPr>
          <w:rFonts w:ascii="Arial" w:hAnsi="Arial" w:cs="Arial"/>
        </w:rPr>
      </w:pPr>
      <w:r w:rsidRPr="00982C6D">
        <w:rPr>
          <w:rFonts w:ascii="Arial" w:hAnsi="Arial" w:cs="Arial"/>
        </w:rPr>
        <w:t xml:space="preserve">The 2018 standardised CPUE was 1.54 kg/potlift, a decrease from 1.79 kg/potlift in 2017. When the rule was operated with the 2018 CPUE, it resulted in a TACC of 222.9 tonnes (shown by the </w:t>
      </w:r>
      <w:r>
        <w:rPr>
          <w:rFonts w:ascii="Arial" w:hAnsi="Arial" w:cs="Arial"/>
        </w:rPr>
        <w:t>pink</w:t>
      </w:r>
      <w:r w:rsidRPr="00982C6D">
        <w:rPr>
          <w:rFonts w:ascii="Arial" w:hAnsi="Arial" w:cs="Arial"/>
        </w:rPr>
        <w:t xml:space="preserve"> square on the graph).</w:t>
      </w:r>
    </w:p>
    <w:p w14:paraId="78DE7419" w14:textId="77777777" w:rsidR="002B427D" w:rsidRPr="00793EE3" w:rsidRDefault="002B427D" w:rsidP="002B427D">
      <w:pPr>
        <w:ind w:left="567" w:hanging="567"/>
        <w:rPr>
          <w:rFonts w:ascii="Arial" w:hAnsi="Arial" w:cs="Arial"/>
          <w:sz w:val="22"/>
          <w:szCs w:val="22"/>
        </w:rPr>
      </w:pPr>
    </w:p>
    <w:p w14:paraId="0918D042" w14:textId="77777777" w:rsidR="002B427D" w:rsidRDefault="002B427D" w:rsidP="002B427D">
      <w:pPr>
        <w:keepNext/>
        <w:rPr>
          <w:rFonts w:ascii="Arial Narrow" w:hAnsi="Arial Narrow"/>
          <w:b/>
        </w:rPr>
      </w:pPr>
      <w:r>
        <w:rPr>
          <w:noProof/>
          <w:lang w:eastAsia="en-NZ"/>
        </w:rPr>
        <w:lastRenderedPageBreak/>
        <w:drawing>
          <wp:inline distT="0" distB="0" distL="0" distR="0" wp14:anchorId="5EF48A6A" wp14:editId="666EDCD9">
            <wp:extent cx="5731510" cy="33775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77565"/>
                    </a:xfrm>
                    <a:prstGeom prst="rect">
                      <a:avLst/>
                    </a:prstGeom>
                  </pic:spPr>
                </pic:pic>
              </a:graphicData>
            </a:graphic>
          </wp:inline>
        </w:drawing>
      </w:r>
    </w:p>
    <w:p w14:paraId="17FA1A1E" w14:textId="77777777" w:rsidR="002B427D" w:rsidRPr="00853D93" w:rsidRDefault="002B427D" w:rsidP="002B427D">
      <w:pPr>
        <w:keepNext/>
        <w:spacing w:before="120"/>
        <w:contextualSpacing w:val="0"/>
        <w:rPr>
          <w:rFonts w:ascii="Arial Narrow" w:hAnsi="Arial Narrow"/>
          <w:b/>
          <w:sz w:val="22"/>
        </w:rPr>
      </w:pPr>
      <w:r w:rsidRPr="000E51AE">
        <w:rPr>
          <w:rFonts w:ascii="Arial Narrow" w:hAnsi="Arial Narrow"/>
          <w:b/>
          <w:sz w:val="22"/>
        </w:rPr>
        <w:t xml:space="preserve">Figure </w:t>
      </w:r>
      <w:r w:rsidRPr="00E1727C">
        <w:rPr>
          <w:rFonts w:ascii="Arial Narrow" w:hAnsi="Arial Narrow"/>
          <w:b/>
          <w:sz w:val="22"/>
        </w:rPr>
        <w:t>5</w:t>
      </w:r>
      <w:r w:rsidRPr="000E51AE">
        <w:rPr>
          <w:rFonts w:ascii="Arial Narrow" w:hAnsi="Arial Narrow"/>
          <w:b/>
          <w:sz w:val="22"/>
        </w:rPr>
        <w:t>: The CRA 3 management procedure, showing the TACCs resulting from the rule evaluations performed in 2</w:t>
      </w:r>
      <w:r w:rsidRPr="00853D93">
        <w:rPr>
          <w:rFonts w:ascii="Arial Narrow" w:hAnsi="Arial Narrow"/>
          <w:b/>
          <w:sz w:val="22"/>
        </w:rPr>
        <w:t>014 through 2018 for the 2014/15 through 2019/20 fishing years (shown as coloured shapes).</w:t>
      </w:r>
    </w:p>
    <w:p w14:paraId="2494E272" w14:textId="77777777" w:rsidR="002B427D" w:rsidRPr="00B3771B" w:rsidRDefault="002B427D" w:rsidP="000B0A46">
      <w:pPr>
        <w:rPr>
          <w:rFonts w:ascii="Arial" w:hAnsi="Arial" w:cs="Arial"/>
          <w:sz w:val="22"/>
          <w:szCs w:val="22"/>
        </w:rPr>
      </w:pPr>
    </w:p>
    <w:p w14:paraId="38D4C931" w14:textId="77777777" w:rsidR="000B0A46" w:rsidRDefault="000B0A46" w:rsidP="000B0A46">
      <w:pPr>
        <w:pStyle w:val="Heading2"/>
        <w:spacing w:after="60"/>
      </w:pPr>
      <w:bookmarkStart w:id="62" w:name="_Toc469576739"/>
      <w:bookmarkStart w:id="63" w:name="_Toc470178841"/>
      <w:bookmarkStart w:id="64" w:name="_Toc531692793"/>
      <w:bookmarkStart w:id="65" w:name="_Toc532471888"/>
      <w:r>
        <w:t>Proposed CRA 3 Options</w:t>
      </w:r>
      <w:bookmarkEnd w:id="62"/>
      <w:bookmarkEnd w:id="63"/>
      <w:bookmarkEnd w:id="64"/>
      <w:bookmarkEnd w:id="65"/>
    </w:p>
    <w:p w14:paraId="56373A89" w14:textId="3A452C68" w:rsidR="000B0A46" w:rsidRPr="00857D97" w:rsidRDefault="000B0A46" w:rsidP="000E51AE">
      <w:pPr>
        <w:pStyle w:val="ListParagraph"/>
        <w:numPr>
          <w:ilvl w:val="0"/>
          <w:numId w:val="26"/>
        </w:numPr>
        <w:spacing w:after="0" w:line="240" w:lineRule="auto"/>
        <w:ind w:left="567" w:hanging="567"/>
        <w:jc w:val="left"/>
        <w:rPr>
          <w:rFonts w:ascii="Arial" w:hAnsi="Arial" w:cs="Arial"/>
        </w:rPr>
      </w:pPr>
      <w:r w:rsidRPr="00857D97">
        <w:rPr>
          <w:rFonts w:ascii="Arial" w:hAnsi="Arial" w:cs="Arial"/>
        </w:rPr>
        <w:t xml:space="preserve">Table </w:t>
      </w:r>
      <w:r w:rsidR="005077A8">
        <w:rPr>
          <w:rFonts w:ascii="Arial" w:hAnsi="Arial" w:cs="Arial"/>
        </w:rPr>
        <w:t>3</w:t>
      </w:r>
      <w:r w:rsidRPr="00857D97">
        <w:rPr>
          <w:rFonts w:ascii="Arial" w:hAnsi="Arial" w:cs="Arial"/>
        </w:rPr>
        <w:t xml:space="preserve"> provides a summary of the options proposed for CRA 3. The current CRA 3 management procedure has been used to guide TAC setting options. The proposals to decrease the TAC and TACC are expected to ensure the CRA 3 stock is maintained above </w:t>
      </w:r>
      <w:r w:rsidRPr="00857D97">
        <w:rPr>
          <w:rFonts w:ascii="Arial" w:hAnsi="Arial" w:cs="Arial"/>
          <w:i/>
        </w:rPr>
        <w:t>B</w:t>
      </w:r>
      <w:r w:rsidRPr="00857D97">
        <w:rPr>
          <w:rFonts w:ascii="Arial" w:hAnsi="Arial" w:cs="Arial"/>
          <w:i/>
          <w:vertAlign w:val="subscript"/>
        </w:rPr>
        <w:t>MSY</w:t>
      </w:r>
      <w:r w:rsidRPr="007D1930">
        <w:rPr>
          <w:rFonts w:ascii="Arial" w:hAnsi="Arial" w:cs="Arial"/>
          <w:i/>
        </w:rPr>
        <w:t>.</w:t>
      </w:r>
    </w:p>
    <w:p w14:paraId="1FCD7C87" w14:textId="77777777" w:rsidR="000B0A46" w:rsidRPr="00B3771B" w:rsidRDefault="000B0A46" w:rsidP="000B0A46">
      <w:pPr>
        <w:rPr>
          <w:rFonts w:ascii="Arial" w:hAnsi="Arial" w:cs="Arial"/>
        </w:rPr>
      </w:pPr>
    </w:p>
    <w:p w14:paraId="292F09F5" w14:textId="2C2319CA" w:rsidR="000B0A46" w:rsidRPr="00853D93" w:rsidRDefault="000B0A46">
      <w:pPr>
        <w:pStyle w:val="TableMainTitle"/>
        <w:keepNext/>
        <w:spacing w:after="60"/>
        <w:rPr>
          <w:sz w:val="22"/>
        </w:rPr>
      </w:pPr>
      <w:r w:rsidRPr="000E51AE">
        <w:rPr>
          <w:sz w:val="22"/>
        </w:rPr>
        <w:t>T</w:t>
      </w:r>
      <w:r w:rsidRPr="00F1422F">
        <w:rPr>
          <w:sz w:val="22"/>
        </w:rPr>
        <w:t xml:space="preserve">able </w:t>
      </w:r>
      <w:r w:rsidR="005077A8" w:rsidRPr="00E1727C">
        <w:rPr>
          <w:sz w:val="22"/>
        </w:rPr>
        <w:t>3</w:t>
      </w:r>
      <w:r w:rsidRPr="000E51AE">
        <w:rPr>
          <w:sz w:val="22"/>
        </w:rPr>
        <w:t>:</w:t>
      </w:r>
      <w:r w:rsidRPr="00F1422F">
        <w:rPr>
          <w:b w:val="0"/>
          <w:sz w:val="22"/>
        </w:rPr>
        <w:t xml:space="preserve"> </w:t>
      </w:r>
      <w:r w:rsidR="003C1C4A">
        <w:rPr>
          <w:sz w:val="22"/>
        </w:rPr>
        <w:t>Proposed TAC, allowance and TACC options</w:t>
      </w:r>
      <w:r w:rsidR="00592002" w:rsidRPr="00853D93">
        <w:rPr>
          <w:sz w:val="22"/>
        </w:rPr>
        <w:t xml:space="preserve"> (in tonnes) for CRA 3 from 1 April 2019.</w:t>
      </w:r>
    </w:p>
    <w:tbl>
      <w:tblPr>
        <w:tblpPr w:leftFromText="180" w:rightFromText="180" w:vertAnchor="text" w:horzAnchor="margin" w:tblpX="-142" w:tblpY="96"/>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558"/>
        <w:gridCol w:w="1560"/>
        <w:gridCol w:w="1136"/>
        <w:gridCol w:w="1275"/>
        <w:gridCol w:w="1274"/>
      </w:tblGrid>
      <w:tr w:rsidR="00403F63" w:rsidRPr="005A515B" w14:paraId="6E733C26" w14:textId="77777777" w:rsidTr="00403F63">
        <w:trPr>
          <w:trHeight w:val="274"/>
        </w:trPr>
        <w:tc>
          <w:tcPr>
            <w:tcW w:w="1250" w:type="pct"/>
            <w:vMerge w:val="restart"/>
            <w:tcBorders>
              <w:left w:val="nil"/>
              <w:right w:val="nil"/>
            </w:tcBorders>
            <w:vAlign w:val="center"/>
          </w:tcPr>
          <w:p w14:paraId="62A0C07C" w14:textId="77777777" w:rsidR="00403F63" w:rsidRPr="005A515B" w:rsidRDefault="00403F63" w:rsidP="00B3771B">
            <w:pPr>
              <w:spacing w:before="40" w:after="40"/>
              <w:contextualSpacing w:val="0"/>
              <w:jc w:val="center"/>
              <w:rPr>
                <w:rFonts w:ascii="Arial Narrow" w:hAnsi="Arial Narrow"/>
                <w:b/>
                <w:sz w:val="20"/>
              </w:rPr>
            </w:pPr>
            <w:r w:rsidRPr="005A515B">
              <w:rPr>
                <w:rFonts w:ascii="Arial Narrow" w:hAnsi="Arial Narrow"/>
                <w:b/>
                <w:sz w:val="20"/>
              </w:rPr>
              <w:t>Option</w:t>
            </w:r>
          </w:p>
        </w:tc>
        <w:tc>
          <w:tcPr>
            <w:tcW w:w="1719" w:type="pct"/>
            <w:gridSpan w:val="2"/>
            <w:tcBorders>
              <w:left w:val="nil"/>
              <w:bottom w:val="nil"/>
              <w:right w:val="nil"/>
            </w:tcBorders>
            <w:vAlign w:val="center"/>
          </w:tcPr>
          <w:p w14:paraId="4C054D02" w14:textId="77777777" w:rsidR="00403F63" w:rsidRPr="005A515B" w:rsidRDefault="00403F63" w:rsidP="00B3771B">
            <w:pPr>
              <w:spacing w:before="40" w:after="40"/>
              <w:contextualSpacing w:val="0"/>
              <w:jc w:val="center"/>
              <w:rPr>
                <w:rFonts w:ascii="Arial Narrow" w:hAnsi="Arial Narrow"/>
                <w:b/>
                <w:sz w:val="20"/>
              </w:rPr>
            </w:pPr>
          </w:p>
        </w:tc>
        <w:tc>
          <w:tcPr>
            <w:tcW w:w="2031" w:type="pct"/>
            <w:gridSpan w:val="3"/>
            <w:tcBorders>
              <w:left w:val="nil"/>
              <w:bottom w:val="single" w:sz="4" w:space="0" w:color="auto"/>
              <w:right w:val="nil"/>
            </w:tcBorders>
            <w:vAlign w:val="center"/>
          </w:tcPr>
          <w:p w14:paraId="02681827" w14:textId="77777777" w:rsidR="00403F63" w:rsidRPr="005A515B" w:rsidRDefault="00403F63" w:rsidP="00B3771B">
            <w:pPr>
              <w:spacing w:before="40" w:after="40"/>
              <w:contextualSpacing w:val="0"/>
              <w:jc w:val="center"/>
              <w:rPr>
                <w:rFonts w:ascii="Arial Narrow" w:hAnsi="Arial Narrow"/>
                <w:b/>
                <w:sz w:val="20"/>
              </w:rPr>
            </w:pPr>
            <w:r>
              <w:rPr>
                <w:rFonts w:ascii="Arial Narrow" w:hAnsi="Arial Narrow"/>
                <w:b/>
                <w:sz w:val="20"/>
              </w:rPr>
              <w:t>Allowances</w:t>
            </w:r>
          </w:p>
        </w:tc>
      </w:tr>
      <w:tr w:rsidR="00403F63" w:rsidRPr="005A515B" w14:paraId="375DBF33" w14:textId="77777777" w:rsidTr="00403F63">
        <w:trPr>
          <w:trHeight w:val="20"/>
        </w:trPr>
        <w:tc>
          <w:tcPr>
            <w:tcW w:w="1250" w:type="pct"/>
            <w:vMerge/>
            <w:tcBorders>
              <w:left w:val="nil"/>
              <w:bottom w:val="single" w:sz="4" w:space="0" w:color="auto"/>
              <w:right w:val="nil"/>
            </w:tcBorders>
            <w:vAlign w:val="center"/>
          </w:tcPr>
          <w:p w14:paraId="44DF3470" w14:textId="77777777" w:rsidR="00403F63" w:rsidRPr="005A515B" w:rsidRDefault="00403F63" w:rsidP="00B3771B">
            <w:pPr>
              <w:spacing w:before="40" w:after="40"/>
              <w:contextualSpacing w:val="0"/>
              <w:jc w:val="center"/>
              <w:rPr>
                <w:rFonts w:ascii="Arial Narrow" w:hAnsi="Arial Narrow"/>
                <w:b/>
                <w:sz w:val="20"/>
              </w:rPr>
            </w:pPr>
          </w:p>
        </w:tc>
        <w:tc>
          <w:tcPr>
            <w:tcW w:w="859" w:type="pct"/>
            <w:tcBorders>
              <w:top w:val="nil"/>
              <w:left w:val="nil"/>
              <w:bottom w:val="single" w:sz="4" w:space="0" w:color="auto"/>
              <w:right w:val="nil"/>
            </w:tcBorders>
            <w:vAlign w:val="center"/>
          </w:tcPr>
          <w:p w14:paraId="41EB79B7" w14:textId="77777777" w:rsidR="00403F63" w:rsidRPr="005A515B" w:rsidRDefault="00403F63" w:rsidP="00B3771B">
            <w:pPr>
              <w:spacing w:before="40" w:after="40"/>
              <w:contextualSpacing w:val="0"/>
              <w:jc w:val="center"/>
              <w:rPr>
                <w:rFonts w:ascii="Arial Narrow" w:hAnsi="Arial Narrow"/>
                <w:b/>
                <w:sz w:val="20"/>
              </w:rPr>
            </w:pPr>
            <w:r w:rsidRPr="005A515B">
              <w:rPr>
                <w:rFonts w:ascii="Arial Narrow" w:hAnsi="Arial Narrow"/>
                <w:b/>
                <w:sz w:val="20"/>
              </w:rPr>
              <w:t>TAC</w:t>
            </w:r>
          </w:p>
        </w:tc>
        <w:tc>
          <w:tcPr>
            <w:tcW w:w="860" w:type="pct"/>
            <w:tcBorders>
              <w:top w:val="nil"/>
              <w:left w:val="nil"/>
              <w:bottom w:val="single" w:sz="4" w:space="0" w:color="auto"/>
              <w:right w:val="nil"/>
            </w:tcBorders>
            <w:vAlign w:val="center"/>
          </w:tcPr>
          <w:p w14:paraId="01A930D5" w14:textId="77777777" w:rsidR="00403F63" w:rsidRPr="005A515B" w:rsidRDefault="00403F63" w:rsidP="00B3771B">
            <w:pPr>
              <w:spacing w:before="40" w:after="40"/>
              <w:contextualSpacing w:val="0"/>
              <w:jc w:val="center"/>
              <w:rPr>
                <w:rFonts w:ascii="Arial Narrow" w:hAnsi="Arial Narrow"/>
                <w:b/>
                <w:sz w:val="20"/>
              </w:rPr>
            </w:pPr>
            <w:r w:rsidRPr="005A515B">
              <w:rPr>
                <w:rFonts w:ascii="Arial Narrow" w:hAnsi="Arial Narrow"/>
                <w:b/>
                <w:sz w:val="20"/>
              </w:rPr>
              <w:t>TACC</w:t>
            </w:r>
          </w:p>
        </w:tc>
        <w:tc>
          <w:tcPr>
            <w:tcW w:w="626" w:type="pct"/>
            <w:tcBorders>
              <w:top w:val="single" w:sz="4" w:space="0" w:color="auto"/>
              <w:left w:val="nil"/>
              <w:bottom w:val="single" w:sz="4" w:space="0" w:color="auto"/>
              <w:right w:val="nil"/>
            </w:tcBorders>
            <w:vAlign w:val="center"/>
          </w:tcPr>
          <w:p w14:paraId="52C31C91" w14:textId="77777777" w:rsidR="00403F63" w:rsidRPr="005A515B" w:rsidRDefault="00403F63" w:rsidP="00B3771B">
            <w:pPr>
              <w:spacing w:before="40" w:after="40"/>
              <w:contextualSpacing w:val="0"/>
              <w:jc w:val="center"/>
              <w:rPr>
                <w:rFonts w:ascii="Arial Narrow" w:hAnsi="Arial Narrow"/>
                <w:b/>
                <w:sz w:val="20"/>
              </w:rPr>
            </w:pPr>
            <w:r w:rsidRPr="005A515B">
              <w:rPr>
                <w:rFonts w:ascii="Arial Narrow" w:hAnsi="Arial Narrow"/>
                <w:b/>
                <w:sz w:val="20"/>
              </w:rPr>
              <w:t>Customary Māori</w:t>
            </w:r>
          </w:p>
        </w:tc>
        <w:tc>
          <w:tcPr>
            <w:tcW w:w="703" w:type="pct"/>
            <w:tcBorders>
              <w:top w:val="single" w:sz="4" w:space="0" w:color="auto"/>
              <w:left w:val="nil"/>
              <w:bottom w:val="single" w:sz="4" w:space="0" w:color="auto"/>
              <w:right w:val="nil"/>
            </w:tcBorders>
            <w:vAlign w:val="center"/>
          </w:tcPr>
          <w:p w14:paraId="222BC191" w14:textId="77777777" w:rsidR="00403F63" w:rsidRPr="005A515B" w:rsidRDefault="00403F63" w:rsidP="00B3771B">
            <w:pPr>
              <w:spacing w:before="40" w:after="40"/>
              <w:contextualSpacing w:val="0"/>
              <w:jc w:val="center"/>
              <w:rPr>
                <w:rFonts w:ascii="Arial Narrow" w:hAnsi="Arial Narrow"/>
                <w:b/>
                <w:sz w:val="20"/>
              </w:rPr>
            </w:pPr>
            <w:r w:rsidRPr="005A515B">
              <w:rPr>
                <w:rFonts w:ascii="Arial Narrow" w:hAnsi="Arial Narrow"/>
                <w:b/>
                <w:sz w:val="20"/>
              </w:rPr>
              <w:t>Recreational</w:t>
            </w:r>
          </w:p>
        </w:tc>
        <w:tc>
          <w:tcPr>
            <w:tcW w:w="702" w:type="pct"/>
            <w:tcBorders>
              <w:top w:val="single" w:sz="4" w:space="0" w:color="auto"/>
              <w:left w:val="nil"/>
              <w:bottom w:val="single" w:sz="4" w:space="0" w:color="auto"/>
              <w:right w:val="nil"/>
            </w:tcBorders>
            <w:vAlign w:val="center"/>
          </w:tcPr>
          <w:p w14:paraId="03ADA348" w14:textId="77777777" w:rsidR="00403F63" w:rsidRPr="005A515B" w:rsidRDefault="00403F63" w:rsidP="00B3771B">
            <w:pPr>
              <w:spacing w:before="40" w:after="40"/>
              <w:contextualSpacing w:val="0"/>
              <w:jc w:val="center"/>
              <w:rPr>
                <w:rFonts w:ascii="Arial Narrow" w:hAnsi="Arial Narrow"/>
                <w:b/>
                <w:sz w:val="20"/>
              </w:rPr>
            </w:pPr>
            <w:r w:rsidRPr="005A515B">
              <w:rPr>
                <w:rFonts w:ascii="Arial Narrow" w:hAnsi="Arial Narrow"/>
                <w:b/>
                <w:sz w:val="20"/>
              </w:rPr>
              <w:t>Other mortality</w:t>
            </w:r>
          </w:p>
        </w:tc>
      </w:tr>
      <w:tr w:rsidR="00403F63" w:rsidRPr="005A515B" w14:paraId="25DE9FE1" w14:textId="77777777" w:rsidTr="00403F63">
        <w:trPr>
          <w:trHeight w:val="408"/>
        </w:trPr>
        <w:tc>
          <w:tcPr>
            <w:tcW w:w="1250" w:type="pct"/>
            <w:tcBorders>
              <w:top w:val="single" w:sz="4" w:space="0" w:color="auto"/>
              <w:left w:val="nil"/>
              <w:bottom w:val="nil"/>
              <w:right w:val="nil"/>
            </w:tcBorders>
            <w:vAlign w:val="center"/>
          </w:tcPr>
          <w:p w14:paraId="28694CA8" w14:textId="77777777" w:rsidR="00403F63" w:rsidRDefault="00403F63" w:rsidP="00B3771B">
            <w:pPr>
              <w:spacing w:before="40" w:after="40"/>
              <w:contextualSpacing w:val="0"/>
              <w:rPr>
                <w:rFonts w:ascii="Arial Narrow" w:hAnsi="Arial Narrow"/>
                <w:b/>
                <w:sz w:val="20"/>
              </w:rPr>
            </w:pPr>
            <w:r>
              <w:rPr>
                <w:rFonts w:ascii="Arial Narrow" w:hAnsi="Arial Narrow"/>
                <w:b/>
                <w:sz w:val="20"/>
              </w:rPr>
              <w:t>CRA3</w:t>
            </w:r>
            <w:r w:rsidRPr="00B05741">
              <w:rPr>
                <w:rFonts w:ascii="Arial Narrow" w:hAnsi="Arial Narrow"/>
                <w:b/>
                <w:sz w:val="20"/>
              </w:rPr>
              <w:t>_0</w:t>
            </w:r>
            <w:r>
              <w:rPr>
                <w:rFonts w:ascii="Arial Narrow" w:hAnsi="Arial Narrow"/>
                <w:b/>
                <w:sz w:val="20"/>
              </w:rPr>
              <w:t xml:space="preserve">1: </w:t>
            </w:r>
            <w:r>
              <w:rPr>
                <w:rFonts w:ascii="Arial Narrow" w:hAnsi="Arial Narrow"/>
                <w:i/>
                <w:sz w:val="20"/>
              </w:rPr>
              <w:t>S</w:t>
            </w:r>
            <w:r w:rsidRPr="007F35E0">
              <w:rPr>
                <w:rFonts w:ascii="Arial Narrow" w:hAnsi="Arial Narrow"/>
                <w:i/>
                <w:sz w:val="20"/>
              </w:rPr>
              <w:t>tatus quo</w:t>
            </w:r>
          </w:p>
        </w:tc>
        <w:tc>
          <w:tcPr>
            <w:tcW w:w="859" w:type="pct"/>
            <w:tcBorders>
              <w:top w:val="single" w:sz="4" w:space="0" w:color="auto"/>
              <w:left w:val="nil"/>
              <w:bottom w:val="nil"/>
              <w:right w:val="nil"/>
            </w:tcBorders>
            <w:vAlign w:val="center"/>
          </w:tcPr>
          <w:p w14:paraId="6AAE7F5A" w14:textId="7F5C9E5F" w:rsidR="00403F63" w:rsidRDefault="00403F63" w:rsidP="00B3771B">
            <w:pPr>
              <w:spacing w:before="40" w:after="40"/>
              <w:contextualSpacing w:val="0"/>
              <w:jc w:val="center"/>
              <w:rPr>
                <w:rFonts w:ascii="Arial Narrow" w:hAnsi="Arial Narrow"/>
                <w:sz w:val="20"/>
              </w:rPr>
            </w:pPr>
            <w:r>
              <w:rPr>
                <w:rFonts w:ascii="Arial Narrow" w:hAnsi="Arial Narrow"/>
                <w:sz w:val="20"/>
              </w:rPr>
              <w:t>366.</w:t>
            </w:r>
            <w:r w:rsidR="000D38A6">
              <w:rPr>
                <w:rFonts w:ascii="Arial Narrow" w:hAnsi="Arial Narrow"/>
                <w:sz w:val="20"/>
              </w:rPr>
              <w:t>86</w:t>
            </w:r>
          </w:p>
        </w:tc>
        <w:tc>
          <w:tcPr>
            <w:tcW w:w="860" w:type="pct"/>
            <w:tcBorders>
              <w:top w:val="single" w:sz="4" w:space="0" w:color="auto"/>
              <w:left w:val="nil"/>
              <w:bottom w:val="nil"/>
              <w:right w:val="nil"/>
            </w:tcBorders>
            <w:vAlign w:val="center"/>
          </w:tcPr>
          <w:p w14:paraId="435893FC" w14:textId="38158DB1" w:rsidR="00403F63" w:rsidRDefault="00403F63" w:rsidP="00B3771B">
            <w:pPr>
              <w:spacing w:before="40" w:after="40"/>
              <w:contextualSpacing w:val="0"/>
              <w:jc w:val="center"/>
              <w:rPr>
                <w:rFonts w:ascii="Arial Narrow" w:hAnsi="Arial Narrow"/>
                <w:sz w:val="20"/>
              </w:rPr>
            </w:pPr>
            <w:r>
              <w:rPr>
                <w:rFonts w:ascii="Arial Narrow" w:hAnsi="Arial Narrow"/>
                <w:sz w:val="20"/>
              </w:rPr>
              <w:t>237.</w:t>
            </w:r>
            <w:r w:rsidR="000D38A6">
              <w:rPr>
                <w:rFonts w:ascii="Arial Narrow" w:hAnsi="Arial Narrow"/>
                <w:sz w:val="20"/>
              </w:rPr>
              <w:t>86</w:t>
            </w:r>
          </w:p>
        </w:tc>
        <w:tc>
          <w:tcPr>
            <w:tcW w:w="626" w:type="pct"/>
            <w:vMerge w:val="restart"/>
            <w:tcBorders>
              <w:top w:val="single" w:sz="4" w:space="0" w:color="auto"/>
              <w:left w:val="nil"/>
              <w:right w:val="nil"/>
            </w:tcBorders>
            <w:vAlign w:val="center"/>
          </w:tcPr>
          <w:p w14:paraId="383200CA" w14:textId="77777777" w:rsidR="00403F63" w:rsidRDefault="00403F63" w:rsidP="00B3771B">
            <w:pPr>
              <w:spacing w:before="40" w:after="40"/>
              <w:contextualSpacing w:val="0"/>
              <w:jc w:val="center"/>
              <w:rPr>
                <w:rFonts w:ascii="Arial Narrow" w:hAnsi="Arial Narrow"/>
                <w:sz w:val="20"/>
              </w:rPr>
            </w:pPr>
            <w:r>
              <w:rPr>
                <w:rFonts w:ascii="Arial Narrow" w:hAnsi="Arial Narrow"/>
                <w:sz w:val="20"/>
              </w:rPr>
              <w:t>20</w:t>
            </w:r>
          </w:p>
        </w:tc>
        <w:tc>
          <w:tcPr>
            <w:tcW w:w="703" w:type="pct"/>
            <w:vMerge w:val="restart"/>
            <w:tcBorders>
              <w:top w:val="single" w:sz="4" w:space="0" w:color="auto"/>
              <w:left w:val="nil"/>
              <w:right w:val="nil"/>
            </w:tcBorders>
            <w:vAlign w:val="center"/>
          </w:tcPr>
          <w:p w14:paraId="715521D7" w14:textId="77777777" w:rsidR="00403F63" w:rsidRDefault="00403F63" w:rsidP="00B3771B">
            <w:pPr>
              <w:spacing w:before="40" w:after="40"/>
              <w:contextualSpacing w:val="0"/>
              <w:jc w:val="center"/>
              <w:rPr>
                <w:rFonts w:ascii="Arial Narrow" w:hAnsi="Arial Narrow"/>
                <w:sz w:val="20"/>
              </w:rPr>
            </w:pPr>
            <w:r>
              <w:rPr>
                <w:rFonts w:ascii="Arial Narrow" w:hAnsi="Arial Narrow"/>
                <w:sz w:val="20"/>
              </w:rPr>
              <w:t>20</w:t>
            </w:r>
          </w:p>
        </w:tc>
        <w:tc>
          <w:tcPr>
            <w:tcW w:w="702" w:type="pct"/>
            <w:vMerge w:val="restart"/>
            <w:tcBorders>
              <w:top w:val="single" w:sz="4" w:space="0" w:color="auto"/>
              <w:left w:val="nil"/>
              <w:right w:val="nil"/>
            </w:tcBorders>
            <w:vAlign w:val="center"/>
          </w:tcPr>
          <w:p w14:paraId="6A003ADA" w14:textId="77777777" w:rsidR="00403F63" w:rsidRDefault="00403F63" w:rsidP="00B3771B">
            <w:pPr>
              <w:spacing w:before="40" w:after="40"/>
              <w:contextualSpacing w:val="0"/>
              <w:jc w:val="center"/>
              <w:rPr>
                <w:rFonts w:ascii="Arial Narrow" w:hAnsi="Arial Narrow"/>
                <w:sz w:val="20"/>
              </w:rPr>
            </w:pPr>
            <w:r>
              <w:rPr>
                <w:rFonts w:ascii="Arial Narrow" w:hAnsi="Arial Narrow"/>
                <w:sz w:val="20"/>
              </w:rPr>
              <w:t>89</w:t>
            </w:r>
          </w:p>
        </w:tc>
      </w:tr>
      <w:tr w:rsidR="00403F63" w:rsidRPr="005A515B" w14:paraId="626A453A" w14:textId="77777777" w:rsidTr="00403F63">
        <w:trPr>
          <w:trHeight w:val="408"/>
        </w:trPr>
        <w:tc>
          <w:tcPr>
            <w:tcW w:w="1250" w:type="pct"/>
            <w:tcBorders>
              <w:top w:val="nil"/>
              <w:left w:val="nil"/>
              <w:bottom w:val="single" w:sz="4" w:space="0" w:color="auto"/>
              <w:right w:val="nil"/>
            </w:tcBorders>
            <w:vAlign w:val="center"/>
          </w:tcPr>
          <w:p w14:paraId="1846970B" w14:textId="77777777" w:rsidR="00403F63" w:rsidRDefault="00403F63" w:rsidP="00B3771B">
            <w:pPr>
              <w:spacing w:before="40" w:after="40"/>
              <w:contextualSpacing w:val="0"/>
              <w:rPr>
                <w:rFonts w:ascii="Arial Narrow" w:hAnsi="Arial Narrow"/>
                <w:b/>
                <w:sz w:val="20"/>
              </w:rPr>
            </w:pPr>
            <w:r w:rsidRPr="00B05741">
              <w:rPr>
                <w:rFonts w:ascii="Arial Narrow" w:hAnsi="Arial Narrow"/>
                <w:b/>
                <w:sz w:val="20"/>
              </w:rPr>
              <w:t>C</w:t>
            </w:r>
            <w:r>
              <w:rPr>
                <w:rFonts w:ascii="Arial Narrow" w:hAnsi="Arial Narrow"/>
                <w:b/>
                <w:sz w:val="20"/>
              </w:rPr>
              <w:t xml:space="preserve">RA3_02: </w:t>
            </w:r>
            <w:r>
              <w:rPr>
                <w:rFonts w:ascii="Arial Narrow" w:hAnsi="Arial Narrow"/>
                <w:sz w:val="20"/>
              </w:rPr>
              <w:t>Based on the operation</w:t>
            </w:r>
            <w:r w:rsidRPr="000945E5">
              <w:rPr>
                <w:rFonts w:ascii="Arial Narrow" w:hAnsi="Arial Narrow"/>
                <w:sz w:val="20"/>
              </w:rPr>
              <w:t xml:space="preserve"> </w:t>
            </w:r>
            <w:r>
              <w:rPr>
                <w:rFonts w:ascii="Arial Narrow" w:hAnsi="Arial Narrow"/>
                <w:sz w:val="20"/>
              </w:rPr>
              <w:t xml:space="preserve">of the </w:t>
            </w:r>
            <w:r w:rsidRPr="000945E5">
              <w:rPr>
                <w:rFonts w:ascii="Arial Narrow" w:hAnsi="Arial Narrow"/>
                <w:sz w:val="20"/>
              </w:rPr>
              <w:t xml:space="preserve">CRA </w:t>
            </w:r>
            <w:r>
              <w:rPr>
                <w:rFonts w:ascii="Arial Narrow" w:hAnsi="Arial Narrow"/>
                <w:sz w:val="20"/>
              </w:rPr>
              <w:t>3 management procedure</w:t>
            </w:r>
          </w:p>
        </w:tc>
        <w:tc>
          <w:tcPr>
            <w:tcW w:w="859" w:type="pct"/>
            <w:tcBorders>
              <w:top w:val="nil"/>
              <w:left w:val="nil"/>
              <w:bottom w:val="single" w:sz="4" w:space="0" w:color="auto"/>
              <w:right w:val="nil"/>
            </w:tcBorders>
            <w:vAlign w:val="center"/>
          </w:tcPr>
          <w:p w14:paraId="671D2EB3" w14:textId="77777777" w:rsidR="00403F63" w:rsidRDefault="00403F63" w:rsidP="00B3771B">
            <w:pPr>
              <w:spacing w:before="40" w:after="40"/>
              <w:contextualSpacing w:val="0"/>
              <w:jc w:val="center"/>
              <w:rPr>
                <w:rFonts w:ascii="Arial Narrow" w:hAnsi="Arial Narrow"/>
                <w:sz w:val="20"/>
              </w:rPr>
            </w:pPr>
            <w:r w:rsidRPr="00FD2ACE">
              <w:rPr>
                <w:rFonts w:ascii="Arial Narrow" w:hAnsi="Arial Narrow"/>
                <w:sz w:val="20"/>
              </w:rPr>
              <w:t xml:space="preserve">351.9 </w:t>
            </w:r>
            <w:r w:rsidRPr="00C72520">
              <w:rPr>
                <w:rFonts w:ascii="Arial Narrow" w:hAnsi="Arial Narrow"/>
                <w:b/>
                <w:color w:val="FF0000"/>
                <w:sz w:val="20"/>
              </w:rPr>
              <w:sym w:font="Wingdings" w:char="F0E2"/>
            </w:r>
            <w:r w:rsidRPr="00FD2ACE">
              <w:rPr>
                <w:rFonts w:ascii="Arial Narrow" w:hAnsi="Arial Narrow"/>
                <w:sz w:val="20"/>
              </w:rPr>
              <w:t xml:space="preserve"> (4.1%)</w:t>
            </w:r>
          </w:p>
        </w:tc>
        <w:tc>
          <w:tcPr>
            <w:tcW w:w="860" w:type="pct"/>
            <w:tcBorders>
              <w:top w:val="nil"/>
              <w:left w:val="nil"/>
              <w:bottom w:val="single" w:sz="4" w:space="0" w:color="auto"/>
              <w:right w:val="nil"/>
            </w:tcBorders>
            <w:vAlign w:val="center"/>
          </w:tcPr>
          <w:p w14:paraId="65958196" w14:textId="77777777" w:rsidR="00403F63" w:rsidRDefault="00403F63" w:rsidP="00B3771B">
            <w:pPr>
              <w:spacing w:before="40" w:after="40"/>
              <w:contextualSpacing w:val="0"/>
              <w:jc w:val="center"/>
              <w:rPr>
                <w:rFonts w:ascii="Arial Narrow" w:hAnsi="Arial Narrow"/>
                <w:sz w:val="20"/>
              </w:rPr>
            </w:pPr>
            <w:r w:rsidRPr="00FD2ACE">
              <w:rPr>
                <w:rFonts w:ascii="Arial Narrow" w:hAnsi="Arial Narrow"/>
                <w:sz w:val="20"/>
              </w:rPr>
              <w:t>222.9</w:t>
            </w:r>
            <w:r w:rsidRPr="00FD2ACE">
              <w:rPr>
                <w:rFonts w:ascii="Arial Narrow" w:hAnsi="Arial Narrow"/>
                <w:b/>
                <w:sz w:val="20"/>
              </w:rPr>
              <w:t xml:space="preserve"> </w:t>
            </w:r>
            <w:r w:rsidRPr="00C72520">
              <w:rPr>
                <w:rFonts w:ascii="Arial Narrow" w:hAnsi="Arial Narrow"/>
                <w:b/>
                <w:color w:val="FF0000"/>
                <w:sz w:val="20"/>
              </w:rPr>
              <w:sym w:font="Wingdings" w:char="F0E2"/>
            </w:r>
            <w:r w:rsidRPr="00FD2ACE">
              <w:rPr>
                <w:rFonts w:ascii="Arial Narrow" w:hAnsi="Arial Narrow"/>
                <w:sz w:val="20"/>
              </w:rPr>
              <w:t xml:space="preserve"> (6.3%)</w:t>
            </w:r>
          </w:p>
        </w:tc>
        <w:tc>
          <w:tcPr>
            <w:tcW w:w="626" w:type="pct"/>
            <w:vMerge/>
            <w:tcBorders>
              <w:left w:val="nil"/>
              <w:right w:val="nil"/>
            </w:tcBorders>
            <w:vAlign w:val="center"/>
          </w:tcPr>
          <w:p w14:paraId="33993B4C" w14:textId="77777777" w:rsidR="00403F63" w:rsidRDefault="00403F63" w:rsidP="00B3771B">
            <w:pPr>
              <w:spacing w:before="40" w:after="40"/>
              <w:contextualSpacing w:val="0"/>
              <w:jc w:val="center"/>
              <w:rPr>
                <w:rFonts w:ascii="Arial Narrow" w:hAnsi="Arial Narrow"/>
                <w:sz w:val="20"/>
              </w:rPr>
            </w:pPr>
          </w:p>
        </w:tc>
        <w:tc>
          <w:tcPr>
            <w:tcW w:w="703" w:type="pct"/>
            <w:vMerge/>
            <w:tcBorders>
              <w:left w:val="nil"/>
              <w:right w:val="nil"/>
            </w:tcBorders>
            <w:vAlign w:val="center"/>
          </w:tcPr>
          <w:p w14:paraId="1884AA5A" w14:textId="77777777" w:rsidR="00403F63" w:rsidRDefault="00403F63" w:rsidP="00B3771B">
            <w:pPr>
              <w:spacing w:before="40" w:after="40"/>
              <w:contextualSpacing w:val="0"/>
              <w:jc w:val="center"/>
              <w:rPr>
                <w:rFonts w:ascii="Arial Narrow" w:hAnsi="Arial Narrow"/>
                <w:sz w:val="20"/>
              </w:rPr>
            </w:pPr>
          </w:p>
        </w:tc>
        <w:tc>
          <w:tcPr>
            <w:tcW w:w="702" w:type="pct"/>
            <w:vMerge/>
            <w:tcBorders>
              <w:left w:val="nil"/>
              <w:bottom w:val="single" w:sz="4" w:space="0" w:color="auto"/>
              <w:right w:val="nil"/>
            </w:tcBorders>
            <w:vAlign w:val="center"/>
          </w:tcPr>
          <w:p w14:paraId="34880D12" w14:textId="77777777" w:rsidR="00403F63" w:rsidRDefault="00403F63" w:rsidP="00B3771B">
            <w:pPr>
              <w:spacing w:before="40" w:after="40"/>
              <w:contextualSpacing w:val="0"/>
              <w:jc w:val="center"/>
              <w:rPr>
                <w:rFonts w:ascii="Arial Narrow" w:hAnsi="Arial Narrow"/>
                <w:sz w:val="20"/>
              </w:rPr>
            </w:pPr>
          </w:p>
        </w:tc>
      </w:tr>
    </w:tbl>
    <w:p w14:paraId="3F75A25D" w14:textId="77777777" w:rsidR="000B0A46" w:rsidRPr="00793EE3" w:rsidRDefault="000B0A46" w:rsidP="000B0A46">
      <w:pPr>
        <w:rPr>
          <w:rFonts w:ascii="Arial" w:hAnsi="Arial" w:cs="Arial"/>
          <w:sz w:val="22"/>
          <w:szCs w:val="22"/>
        </w:rPr>
      </w:pPr>
    </w:p>
    <w:p w14:paraId="1EE2ACEB" w14:textId="460881DF" w:rsidR="000B0A46" w:rsidRDefault="00DB2902" w:rsidP="000B0A46">
      <w:pPr>
        <w:pStyle w:val="Heading3"/>
        <w:keepLines w:val="0"/>
        <w:numPr>
          <w:ilvl w:val="2"/>
          <w:numId w:val="0"/>
        </w:numPr>
        <w:spacing w:after="60"/>
        <w:ind w:left="720" w:hanging="720"/>
      </w:pPr>
      <w:r>
        <w:t>Total Allowable Catch</w:t>
      </w:r>
    </w:p>
    <w:p w14:paraId="1728F9A3" w14:textId="77777777" w:rsidR="00157BE9" w:rsidRPr="00157BE9" w:rsidRDefault="00157BE9" w:rsidP="00CE29B5">
      <w:pPr>
        <w:contextualSpacing w:val="0"/>
        <w:rPr>
          <w:rFonts w:ascii="Arial" w:hAnsi="Arial" w:cs="Arial"/>
          <w:sz w:val="22"/>
          <w:szCs w:val="22"/>
        </w:rPr>
      </w:pPr>
    </w:p>
    <w:p w14:paraId="764646F1" w14:textId="4628E5CB" w:rsidR="000B0A46" w:rsidRPr="00857D97" w:rsidRDefault="000D38A6" w:rsidP="00CE29B5">
      <w:pPr>
        <w:pStyle w:val="ListParagraph"/>
        <w:numPr>
          <w:ilvl w:val="0"/>
          <w:numId w:val="26"/>
        </w:numPr>
        <w:spacing w:after="0" w:line="240" w:lineRule="auto"/>
        <w:ind w:left="567" w:hanging="567"/>
        <w:contextualSpacing w:val="0"/>
        <w:jc w:val="left"/>
        <w:rPr>
          <w:rFonts w:ascii="Arial" w:hAnsi="Arial" w:cs="Arial"/>
          <w:szCs w:val="24"/>
        </w:rPr>
      </w:pPr>
      <w:r>
        <w:rPr>
          <w:rFonts w:ascii="Arial" w:hAnsi="Arial" w:cs="Arial"/>
          <w:szCs w:val="24"/>
        </w:rPr>
        <w:t xml:space="preserve">For </w:t>
      </w:r>
      <w:r w:rsidR="000B0A46" w:rsidRPr="00857D97">
        <w:rPr>
          <w:rFonts w:ascii="Arial" w:hAnsi="Arial" w:cs="Arial"/>
          <w:szCs w:val="24"/>
        </w:rPr>
        <w:t>CRA 3</w:t>
      </w:r>
      <w:r>
        <w:rPr>
          <w:rFonts w:ascii="Arial" w:hAnsi="Arial" w:cs="Arial"/>
          <w:szCs w:val="24"/>
        </w:rPr>
        <w:t>, the</w:t>
      </w:r>
      <w:r w:rsidR="000B0A46" w:rsidRPr="00857D97">
        <w:rPr>
          <w:rFonts w:ascii="Arial" w:hAnsi="Arial" w:cs="Arial"/>
          <w:szCs w:val="24"/>
        </w:rPr>
        <w:t xml:space="preserve"> biomass </w:t>
      </w:r>
      <w:r>
        <w:rPr>
          <w:rFonts w:ascii="Arial" w:hAnsi="Arial" w:cs="Arial"/>
          <w:szCs w:val="24"/>
        </w:rPr>
        <w:t>level that can produce the maximum sustainable yield (</w:t>
      </w:r>
      <w:r w:rsidR="000B0A46" w:rsidRPr="00857D97">
        <w:rPr>
          <w:rFonts w:ascii="Arial" w:hAnsi="Arial" w:cs="Arial"/>
          <w:i/>
          <w:szCs w:val="24"/>
        </w:rPr>
        <w:t>B</w:t>
      </w:r>
      <w:r w:rsidR="000B0A46" w:rsidRPr="00857D97">
        <w:rPr>
          <w:rFonts w:ascii="Arial" w:hAnsi="Arial" w:cs="Arial"/>
          <w:i/>
          <w:szCs w:val="24"/>
          <w:vertAlign w:val="subscript"/>
        </w:rPr>
        <w:t>MSY</w:t>
      </w:r>
      <w:r w:rsidR="002F23B9">
        <w:rPr>
          <w:rFonts w:ascii="Arial" w:hAnsi="Arial" w:cs="Arial"/>
          <w:szCs w:val="24"/>
        </w:rPr>
        <w:t>)</w:t>
      </w:r>
      <w:r w:rsidR="001755D7">
        <w:rPr>
          <w:rFonts w:ascii="Arial" w:hAnsi="Arial" w:cs="Arial"/>
          <w:szCs w:val="24"/>
        </w:rPr>
        <w:t xml:space="preserve"> is known</w:t>
      </w:r>
      <w:r w:rsidR="000B0A46" w:rsidRPr="00857D97">
        <w:rPr>
          <w:rFonts w:ascii="Arial" w:hAnsi="Arial" w:cs="Arial"/>
          <w:szCs w:val="24"/>
        </w:rPr>
        <w:t>. Accordingly</w:t>
      </w:r>
      <w:r w:rsidR="00AE5C4A" w:rsidRPr="00857D97">
        <w:rPr>
          <w:rFonts w:ascii="Arial" w:hAnsi="Arial" w:cs="Arial"/>
          <w:szCs w:val="24"/>
        </w:rPr>
        <w:t>, two options</w:t>
      </w:r>
      <w:r w:rsidR="000B0A46" w:rsidRPr="00857D97">
        <w:rPr>
          <w:rFonts w:ascii="Arial" w:hAnsi="Arial" w:cs="Arial"/>
          <w:szCs w:val="24"/>
        </w:rPr>
        <w:t xml:space="preserve"> </w:t>
      </w:r>
      <w:r w:rsidR="001A47C5">
        <w:rPr>
          <w:rFonts w:ascii="Arial" w:hAnsi="Arial" w:cs="Arial"/>
          <w:szCs w:val="24"/>
        </w:rPr>
        <w:t xml:space="preserve">are presented below for </w:t>
      </w:r>
      <w:r w:rsidR="000B0A46" w:rsidRPr="00857D97">
        <w:rPr>
          <w:rFonts w:ascii="Arial" w:hAnsi="Arial" w:cs="Arial"/>
          <w:szCs w:val="24"/>
        </w:rPr>
        <w:t xml:space="preserve">the CRA 3 TAC to maintain the stock at or above </w:t>
      </w:r>
      <w:r w:rsidR="000B0A46" w:rsidRPr="00857D97">
        <w:rPr>
          <w:rFonts w:ascii="Arial" w:hAnsi="Arial" w:cs="Arial"/>
          <w:i/>
          <w:szCs w:val="24"/>
        </w:rPr>
        <w:t>B</w:t>
      </w:r>
      <w:r w:rsidR="000B0A46" w:rsidRPr="00857D97">
        <w:rPr>
          <w:rFonts w:ascii="Arial" w:hAnsi="Arial" w:cs="Arial"/>
          <w:i/>
          <w:szCs w:val="24"/>
          <w:vertAlign w:val="subscript"/>
        </w:rPr>
        <w:t>MSY</w:t>
      </w:r>
      <w:r w:rsidR="000B0A46" w:rsidRPr="00857D97">
        <w:rPr>
          <w:rFonts w:ascii="Arial" w:hAnsi="Arial" w:cs="Arial"/>
          <w:szCs w:val="24"/>
        </w:rPr>
        <w:t xml:space="preserve"> (section 13(2)(a)).</w:t>
      </w:r>
      <w:r w:rsidR="00AE2F0E">
        <w:rPr>
          <w:rFonts w:ascii="Arial" w:hAnsi="Arial" w:cs="Arial"/>
          <w:szCs w:val="24"/>
        </w:rPr>
        <w:t xml:space="preserve"> For further information on the Minister’s statutory considerations refer to Appendix 1.</w:t>
      </w:r>
    </w:p>
    <w:p w14:paraId="011C75F4" w14:textId="77777777" w:rsidR="000B0A46" w:rsidRPr="00B3771B" w:rsidRDefault="000B0A46" w:rsidP="00CE29B5">
      <w:pPr>
        <w:contextualSpacing w:val="0"/>
        <w:rPr>
          <w:rFonts w:ascii="Arial" w:hAnsi="Arial" w:cs="Arial"/>
          <w:sz w:val="22"/>
          <w:szCs w:val="22"/>
        </w:rPr>
      </w:pPr>
    </w:p>
    <w:p w14:paraId="254CB275" w14:textId="77777777" w:rsidR="00E22B6D" w:rsidRDefault="00E22B6D">
      <w:pPr>
        <w:spacing w:after="160" w:line="259" w:lineRule="auto"/>
        <w:contextualSpacing w:val="0"/>
        <w:rPr>
          <w:rFonts w:ascii="Arial" w:hAnsi="Arial" w:cs="Arial"/>
          <w:sz w:val="22"/>
          <w:szCs w:val="22"/>
        </w:rPr>
      </w:pPr>
      <w:r>
        <w:rPr>
          <w:rFonts w:ascii="Arial" w:hAnsi="Arial" w:cs="Arial"/>
        </w:rPr>
        <w:br w:type="page"/>
      </w:r>
    </w:p>
    <w:p w14:paraId="50AF86AD" w14:textId="1132C13C" w:rsidR="00AE5C4A" w:rsidRPr="00CE29B5" w:rsidRDefault="00AE5C4A" w:rsidP="00CE29B5">
      <w:pPr>
        <w:pStyle w:val="ListParagraph"/>
        <w:numPr>
          <w:ilvl w:val="0"/>
          <w:numId w:val="26"/>
        </w:numPr>
        <w:spacing w:after="0" w:line="240" w:lineRule="auto"/>
        <w:ind w:left="567" w:hanging="567"/>
        <w:contextualSpacing w:val="0"/>
        <w:jc w:val="left"/>
        <w:rPr>
          <w:rFonts w:ascii="Arial" w:hAnsi="Arial" w:cs="Arial"/>
        </w:rPr>
      </w:pPr>
      <w:r w:rsidRPr="00857D97">
        <w:rPr>
          <w:rFonts w:ascii="Arial" w:hAnsi="Arial" w:cs="Arial"/>
        </w:rPr>
        <w:lastRenderedPageBreak/>
        <w:t>Under Option CRA3_02</w:t>
      </w:r>
      <w:r w:rsidR="00856A50">
        <w:rPr>
          <w:rFonts w:ascii="Arial" w:hAnsi="Arial" w:cs="Arial"/>
        </w:rPr>
        <w:t>,</w:t>
      </w:r>
      <w:r w:rsidRPr="00857D97">
        <w:rPr>
          <w:rFonts w:ascii="Arial" w:hAnsi="Arial" w:cs="Arial"/>
        </w:rPr>
        <w:t xml:space="preserve"> the CRA 3 TAC would stay at its current level </w:t>
      </w:r>
      <w:r w:rsidR="002B427D">
        <w:rPr>
          <w:rFonts w:ascii="Arial" w:hAnsi="Arial" w:cs="Arial"/>
        </w:rPr>
        <w:t xml:space="preserve">of 366.86 tonnes </w:t>
      </w:r>
      <w:r w:rsidRPr="00857D97">
        <w:rPr>
          <w:rFonts w:ascii="Arial" w:hAnsi="Arial" w:cs="Arial"/>
        </w:rPr>
        <w:t>f</w:t>
      </w:r>
      <w:r w:rsidR="00856A50">
        <w:rPr>
          <w:rFonts w:ascii="Arial" w:hAnsi="Arial" w:cs="Arial"/>
        </w:rPr>
        <w:t>rom 1 April 2019</w:t>
      </w:r>
      <w:r w:rsidRPr="00857D97">
        <w:rPr>
          <w:rFonts w:ascii="Arial" w:hAnsi="Arial" w:cs="Arial"/>
        </w:rPr>
        <w:t>.</w:t>
      </w:r>
      <w:r w:rsidR="00CE29B5">
        <w:rPr>
          <w:rFonts w:ascii="Arial" w:hAnsi="Arial" w:cs="Arial"/>
        </w:rPr>
        <w:t xml:space="preserve"> </w:t>
      </w:r>
      <w:r w:rsidRPr="00CE29B5">
        <w:rPr>
          <w:rFonts w:ascii="Arial" w:hAnsi="Arial" w:cs="Arial"/>
        </w:rPr>
        <w:t>This option is not supported by Fisheries New Zealand, nor by the N</w:t>
      </w:r>
      <w:r w:rsidR="00E22B6D">
        <w:rPr>
          <w:rFonts w:ascii="Arial" w:hAnsi="Arial" w:cs="Arial"/>
        </w:rPr>
        <w:t xml:space="preserve">ational </w:t>
      </w:r>
      <w:r w:rsidRPr="00CE29B5">
        <w:rPr>
          <w:rFonts w:ascii="Arial" w:hAnsi="Arial" w:cs="Arial"/>
        </w:rPr>
        <w:t>R</w:t>
      </w:r>
      <w:r w:rsidR="00E22B6D">
        <w:rPr>
          <w:rFonts w:ascii="Arial" w:hAnsi="Arial" w:cs="Arial"/>
        </w:rPr>
        <w:t xml:space="preserve">ock </w:t>
      </w:r>
      <w:r w:rsidRPr="00CE29B5">
        <w:rPr>
          <w:rFonts w:ascii="Arial" w:hAnsi="Arial" w:cs="Arial"/>
        </w:rPr>
        <w:t>L</w:t>
      </w:r>
      <w:r w:rsidR="00E22B6D">
        <w:rPr>
          <w:rFonts w:ascii="Arial" w:hAnsi="Arial" w:cs="Arial"/>
        </w:rPr>
        <w:t xml:space="preserve">obster </w:t>
      </w:r>
      <w:r w:rsidRPr="00CE29B5">
        <w:rPr>
          <w:rFonts w:ascii="Arial" w:hAnsi="Arial" w:cs="Arial"/>
        </w:rPr>
        <w:t>M</w:t>
      </w:r>
      <w:r w:rsidR="00E22B6D">
        <w:rPr>
          <w:rFonts w:ascii="Arial" w:hAnsi="Arial" w:cs="Arial"/>
        </w:rPr>
        <w:t xml:space="preserve">anagement </w:t>
      </w:r>
      <w:r w:rsidRPr="00CE29B5">
        <w:rPr>
          <w:rFonts w:ascii="Arial" w:hAnsi="Arial" w:cs="Arial"/>
        </w:rPr>
        <w:t>G</w:t>
      </w:r>
      <w:r w:rsidR="00E22B6D">
        <w:rPr>
          <w:rFonts w:ascii="Arial" w:hAnsi="Arial" w:cs="Arial"/>
        </w:rPr>
        <w:t>roup</w:t>
      </w:r>
      <w:r w:rsidRPr="00CE29B5">
        <w:rPr>
          <w:rFonts w:ascii="Arial" w:hAnsi="Arial" w:cs="Arial"/>
        </w:rPr>
        <w:t>. Maintaining the current TAC could result in a further decline in CRA 3 stock abundance and could</w:t>
      </w:r>
      <w:r w:rsidR="00DB2902" w:rsidRPr="00CE29B5">
        <w:rPr>
          <w:rFonts w:ascii="Arial" w:hAnsi="Arial" w:cs="Arial"/>
        </w:rPr>
        <w:t xml:space="preserve"> affect</w:t>
      </w:r>
      <w:r w:rsidR="001755D7" w:rsidRPr="00CE29B5">
        <w:rPr>
          <w:rFonts w:ascii="Arial" w:hAnsi="Arial" w:cs="Arial"/>
        </w:rPr>
        <w:t xml:space="preserve"> the goal of maintaining stock biomass at or above </w:t>
      </w:r>
      <w:r w:rsidR="001755D7" w:rsidRPr="00CE29B5">
        <w:rPr>
          <w:rFonts w:ascii="Arial" w:hAnsi="Arial" w:cs="Arial"/>
          <w:i/>
          <w:szCs w:val="24"/>
        </w:rPr>
        <w:t>B</w:t>
      </w:r>
      <w:r w:rsidR="001755D7" w:rsidRPr="00CE29B5">
        <w:rPr>
          <w:rFonts w:ascii="Arial" w:hAnsi="Arial" w:cs="Arial"/>
          <w:i/>
          <w:szCs w:val="24"/>
          <w:vertAlign w:val="subscript"/>
        </w:rPr>
        <w:t>MSY</w:t>
      </w:r>
      <w:r w:rsidR="00395ACF" w:rsidRPr="00CE29B5">
        <w:rPr>
          <w:rFonts w:ascii="Arial" w:hAnsi="Arial" w:cs="Arial"/>
        </w:rPr>
        <w:t>.</w:t>
      </w:r>
    </w:p>
    <w:p w14:paraId="57E8ACBD" w14:textId="77777777" w:rsidR="00AE5C4A" w:rsidRPr="00B3771B" w:rsidRDefault="00AE5C4A" w:rsidP="00CE29B5">
      <w:pPr>
        <w:contextualSpacing w:val="0"/>
        <w:rPr>
          <w:rFonts w:ascii="Arial" w:hAnsi="Arial" w:cs="Arial"/>
          <w:sz w:val="22"/>
          <w:szCs w:val="22"/>
        </w:rPr>
      </w:pPr>
    </w:p>
    <w:p w14:paraId="78606639" w14:textId="0DA11D49" w:rsidR="000B0A46" w:rsidRPr="00857D97" w:rsidRDefault="00AE5C4A" w:rsidP="00CE29B5">
      <w:pPr>
        <w:pStyle w:val="ListParagraph"/>
        <w:numPr>
          <w:ilvl w:val="0"/>
          <w:numId w:val="26"/>
        </w:numPr>
        <w:spacing w:after="0" w:line="240" w:lineRule="auto"/>
        <w:ind w:left="567" w:hanging="567"/>
        <w:contextualSpacing w:val="0"/>
        <w:jc w:val="left"/>
        <w:rPr>
          <w:rFonts w:ascii="Arial" w:hAnsi="Arial" w:cs="Arial"/>
        </w:rPr>
      </w:pPr>
      <w:r w:rsidRPr="00857D97">
        <w:rPr>
          <w:rFonts w:ascii="Arial" w:hAnsi="Arial" w:cs="Arial"/>
        </w:rPr>
        <w:t>Under Option CRA3_02,</w:t>
      </w:r>
      <w:r w:rsidR="000B0A46" w:rsidRPr="00857D97">
        <w:rPr>
          <w:rFonts w:ascii="Arial" w:hAnsi="Arial" w:cs="Arial"/>
        </w:rPr>
        <w:t xml:space="preserve"> the CRA 3 TAC would be decreased to </w:t>
      </w:r>
      <w:r w:rsidRPr="00857D97">
        <w:rPr>
          <w:rFonts w:ascii="Arial" w:hAnsi="Arial" w:cs="Arial"/>
        </w:rPr>
        <w:t>3</w:t>
      </w:r>
      <w:r w:rsidR="00395ACF">
        <w:rPr>
          <w:rFonts w:ascii="Arial" w:hAnsi="Arial" w:cs="Arial"/>
        </w:rPr>
        <w:t>66.86</w:t>
      </w:r>
      <w:r w:rsidR="000B0A46" w:rsidRPr="00857D97">
        <w:rPr>
          <w:rFonts w:ascii="Arial" w:hAnsi="Arial" w:cs="Arial"/>
        </w:rPr>
        <w:t xml:space="preserve"> tonnes</w:t>
      </w:r>
      <w:r w:rsidR="00856A50">
        <w:rPr>
          <w:rFonts w:ascii="Arial" w:hAnsi="Arial" w:cs="Arial"/>
        </w:rPr>
        <w:t xml:space="preserve"> (a 4.1% decrease)</w:t>
      </w:r>
      <w:r w:rsidR="000B0A46" w:rsidRPr="00857D97">
        <w:rPr>
          <w:rFonts w:ascii="Arial" w:hAnsi="Arial" w:cs="Arial"/>
        </w:rPr>
        <w:t xml:space="preserve">. The proposed TAC decrease is </w:t>
      </w:r>
      <w:r w:rsidR="00856A50">
        <w:rPr>
          <w:rFonts w:ascii="Arial" w:hAnsi="Arial" w:cs="Arial"/>
        </w:rPr>
        <w:t xml:space="preserve">guided by the use of </w:t>
      </w:r>
      <w:r w:rsidR="000B0A46" w:rsidRPr="00857D97">
        <w:rPr>
          <w:rFonts w:ascii="Arial" w:hAnsi="Arial" w:cs="Arial"/>
        </w:rPr>
        <w:t>the CRA 3 management procedure.</w:t>
      </w:r>
      <w:r w:rsidR="00CE3A4C">
        <w:rPr>
          <w:rFonts w:ascii="Arial" w:hAnsi="Arial" w:cs="Arial"/>
        </w:rPr>
        <w:t xml:space="preserve"> </w:t>
      </w:r>
      <w:r w:rsidR="00E22B6D">
        <w:rPr>
          <w:rFonts w:ascii="Arial" w:hAnsi="Arial" w:cs="Arial"/>
          <w:szCs w:val="20"/>
        </w:rPr>
        <w:t xml:space="preserve">The </w:t>
      </w:r>
      <w:r w:rsidR="00E22B6D" w:rsidRPr="00CE29B5">
        <w:rPr>
          <w:rFonts w:ascii="Arial" w:hAnsi="Arial" w:cs="Arial"/>
        </w:rPr>
        <w:t>N</w:t>
      </w:r>
      <w:r w:rsidR="00E22B6D">
        <w:rPr>
          <w:rFonts w:ascii="Arial" w:hAnsi="Arial" w:cs="Arial"/>
        </w:rPr>
        <w:t xml:space="preserve">ational </w:t>
      </w:r>
      <w:r w:rsidR="00E22B6D" w:rsidRPr="00CE29B5">
        <w:rPr>
          <w:rFonts w:ascii="Arial" w:hAnsi="Arial" w:cs="Arial"/>
        </w:rPr>
        <w:t>R</w:t>
      </w:r>
      <w:r w:rsidR="00E22B6D">
        <w:rPr>
          <w:rFonts w:ascii="Arial" w:hAnsi="Arial" w:cs="Arial"/>
        </w:rPr>
        <w:t xml:space="preserve">ock </w:t>
      </w:r>
      <w:r w:rsidR="00E22B6D" w:rsidRPr="00CE29B5">
        <w:rPr>
          <w:rFonts w:ascii="Arial" w:hAnsi="Arial" w:cs="Arial"/>
        </w:rPr>
        <w:t>L</w:t>
      </w:r>
      <w:r w:rsidR="00E22B6D">
        <w:rPr>
          <w:rFonts w:ascii="Arial" w:hAnsi="Arial" w:cs="Arial"/>
        </w:rPr>
        <w:t xml:space="preserve">obster </w:t>
      </w:r>
      <w:r w:rsidR="00E22B6D" w:rsidRPr="00CE29B5">
        <w:rPr>
          <w:rFonts w:ascii="Arial" w:hAnsi="Arial" w:cs="Arial"/>
        </w:rPr>
        <w:t>M</w:t>
      </w:r>
      <w:r w:rsidR="00E22B6D">
        <w:rPr>
          <w:rFonts w:ascii="Arial" w:hAnsi="Arial" w:cs="Arial"/>
        </w:rPr>
        <w:t xml:space="preserve">anagement </w:t>
      </w:r>
      <w:r w:rsidR="00E22B6D" w:rsidRPr="00CE29B5">
        <w:rPr>
          <w:rFonts w:ascii="Arial" w:hAnsi="Arial" w:cs="Arial"/>
        </w:rPr>
        <w:t>G</w:t>
      </w:r>
      <w:r w:rsidR="00E22B6D">
        <w:rPr>
          <w:rFonts w:ascii="Arial" w:hAnsi="Arial" w:cs="Arial"/>
        </w:rPr>
        <w:t>roup</w:t>
      </w:r>
      <w:r w:rsidR="00CE3A4C" w:rsidRPr="00D57F9F">
        <w:rPr>
          <w:rFonts w:ascii="Arial" w:hAnsi="Arial" w:cs="Arial"/>
          <w:szCs w:val="20"/>
        </w:rPr>
        <w:t xml:space="preserve"> supports the use of management procedures unless there are compelling reasons in a particular case not to follow the procedure.</w:t>
      </w:r>
    </w:p>
    <w:p w14:paraId="253E9ED5" w14:textId="77777777" w:rsidR="000B0A46" w:rsidRPr="00857D97" w:rsidRDefault="000B0A46" w:rsidP="00CE29B5">
      <w:pPr>
        <w:ind w:left="567" w:hanging="567"/>
        <w:contextualSpacing w:val="0"/>
        <w:rPr>
          <w:rFonts w:ascii="Arial" w:hAnsi="Arial" w:cs="Arial"/>
        </w:rPr>
      </w:pPr>
    </w:p>
    <w:p w14:paraId="6E600A3F" w14:textId="52B2D2EE" w:rsidR="000B0A46" w:rsidRPr="00857D97" w:rsidRDefault="000B0A46" w:rsidP="00CE29B5">
      <w:pPr>
        <w:pStyle w:val="ListParagraph"/>
        <w:numPr>
          <w:ilvl w:val="0"/>
          <w:numId w:val="26"/>
        </w:numPr>
        <w:spacing w:after="0" w:line="240" w:lineRule="auto"/>
        <w:ind w:left="567" w:hanging="567"/>
        <w:contextualSpacing w:val="0"/>
        <w:jc w:val="left"/>
        <w:rPr>
          <w:rFonts w:ascii="Arial" w:hAnsi="Arial" w:cs="Arial"/>
        </w:rPr>
      </w:pPr>
      <w:r w:rsidRPr="00857D97">
        <w:rPr>
          <w:rFonts w:ascii="Arial" w:hAnsi="Arial" w:cs="Arial"/>
        </w:rPr>
        <w:t xml:space="preserve">Ongoing application of the CRA 3 management procedure is expected to maintain the stock above </w:t>
      </w:r>
      <w:r w:rsidRPr="00857D97">
        <w:rPr>
          <w:rFonts w:ascii="Arial" w:hAnsi="Arial" w:cs="Arial"/>
          <w:i/>
        </w:rPr>
        <w:t>B</w:t>
      </w:r>
      <w:r w:rsidRPr="00857D97">
        <w:rPr>
          <w:rFonts w:ascii="Arial" w:hAnsi="Arial" w:cs="Arial"/>
          <w:i/>
          <w:vertAlign w:val="subscript"/>
        </w:rPr>
        <w:t>MSY</w:t>
      </w:r>
      <w:r w:rsidRPr="00857D97">
        <w:rPr>
          <w:rFonts w:ascii="Arial" w:hAnsi="Arial" w:cs="Arial"/>
        </w:rPr>
        <w:t xml:space="preserve"> with greater than 50% probability. Simulation testing indicates it would maintain the stock above </w:t>
      </w:r>
      <w:r w:rsidRPr="00857D97">
        <w:rPr>
          <w:rFonts w:ascii="Arial" w:hAnsi="Arial" w:cs="Arial"/>
          <w:i/>
        </w:rPr>
        <w:t>B</w:t>
      </w:r>
      <w:r w:rsidRPr="00857D97">
        <w:rPr>
          <w:rFonts w:ascii="Arial" w:hAnsi="Arial" w:cs="Arial"/>
          <w:i/>
          <w:vertAlign w:val="subscript"/>
        </w:rPr>
        <w:t>MSY</w:t>
      </w:r>
      <w:r w:rsidRPr="00857D97">
        <w:rPr>
          <w:rFonts w:ascii="Arial" w:hAnsi="Arial" w:cs="Arial"/>
        </w:rPr>
        <w:t xml:space="preserve"> with 99% probability.</w:t>
      </w:r>
      <w:r w:rsidR="00CE29B5">
        <w:rPr>
          <w:rFonts w:ascii="Arial" w:hAnsi="Arial" w:cs="Arial"/>
        </w:rPr>
        <w:t xml:space="preserve"> This is likely to maintain utilisation benefits for all sectors</w:t>
      </w:r>
      <w:r w:rsidR="00AA471C">
        <w:rPr>
          <w:rFonts w:ascii="Arial" w:hAnsi="Arial" w:cs="Arial"/>
        </w:rPr>
        <w:t>.</w:t>
      </w:r>
    </w:p>
    <w:p w14:paraId="33D5BA4B" w14:textId="77777777" w:rsidR="000B0A46" w:rsidRPr="00857D97" w:rsidRDefault="000B0A46" w:rsidP="00CE29B5">
      <w:pPr>
        <w:ind w:left="567" w:hanging="567"/>
        <w:contextualSpacing w:val="0"/>
        <w:rPr>
          <w:rFonts w:ascii="Arial" w:hAnsi="Arial" w:cs="Arial"/>
        </w:rPr>
      </w:pPr>
    </w:p>
    <w:p w14:paraId="34157599" w14:textId="3DE7FC2F" w:rsidR="000B0A46" w:rsidRPr="00990BCF" w:rsidRDefault="001A47C5" w:rsidP="000B0A46">
      <w:pPr>
        <w:pStyle w:val="Heading3"/>
        <w:keepLines w:val="0"/>
        <w:numPr>
          <w:ilvl w:val="2"/>
          <w:numId w:val="0"/>
        </w:numPr>
        <w:spacing w:after="60"/>
        <w:ind w:left="720" w:hanging="720"/>
      </w:pPr>
      <w:r>
        <w:t>A</w:t>
      </w:r>
      <w:r w:rsidR="000B0A46">
        <w:t>llowances</w:t>
      </w:r>
    </w:p>
    <w:p w14:paraId="452AD64C" w14:textId="77777777" w:rsidR="00934235" w:rsidRDefault="00934235">
      <w:pPr>
        <w:pStyle w:val="ListParagraph"/>
        <w:spacing w:after="60" w:line="240" w:lineRule="auto"/>
        <w:ind w:left="567"/>
        <w:contextualSpacing w:val="0"/>
        <w:jc w:val="left"/>
        <w:rPr>
          <w:rFonts w:ascii="Arial" w:hAnsi="Arial" w:cs="Arial"/>
        </w:rPr>
      </w:pPr>
    </w:p>
    <w:p w14:paraId="1AFC9060" w14:textId="16220CA8" w:rsidR="00CE29B5" w:rsidRPr="0057475E" w:rsidRDefault="00756AD5" w:rsidP="00CE29B5">
      <w:pPr>
        <w:pStyle w:val="ListParagraph"/>
        <w:numPr>
          <w:ilvl w:val="0"/>
          <w:numId w:val="26"/>
        </w:numPr>
        <w:spacing w:after="0" w:line="240" w:lineRule="auto"/>
        <w:ind w:left="567" w:hanging="567"/>
        <w:jc w:val="left"/>
        <w:rPr>
          <w:rFonts w:ascii="Arial" w:hAnsi="Arial" w:cs="Arial"/>
          <w:szCs w:val="20"/>
        </w:rPr>
      </w:pPr>
      <w:r>
        <w:rPr>
          <w:rFonts w:ascii="Arial" w:hAnsi="Arial" w:cs="Arial"/>
          <w:szCs w:val="20"/>
        </w:rPr>
        <w:t>Table 4</w:t>
      </w:r>
      <w:r w:rsidR="007440F3">
        <w:rPr>
          <w:rFonts w:ascii="Arial" w:hAnsi="Arial" w:cs="Arial"/>
          <w:szCs w:val="20"/>
        </w:rPr>
        <w:t xml:space="preserve"> provides a summary of </w:t>
      </w:r>
      <w:r w:rsidR="00CE29B5" w:rsidRPr="0057475E">
        <w:rPr>
          <w:rFonts w:ascii="Arial" w:hAnsi="Arial" w:cs="Arial"/>
          <w:szCs w:val="20"/>
        </w:rPr>
        <w:t>information on current non</w:t>
      </w:r>
      <w:r w:rsidR="00CE29B5">
        <w:rPr>
          <w:rFonts w:ascii="Arial" w:hAnsi="Arial" w:cs="Arial"/>
          <w:szCs w:val="20"/>
        </w:rPr>
        <w:t>-commercial allowances for CRA 3</w:t>
      </w:r>
      <w:r w:rsidR="00CE29B5" w:rsidRPr="0057475E">
        <w:rPr>
          <w:rFonts w:ascii="Arial" w:hAnsi="Arial" w:cs="Arial"/>
          <w:szCs w:val="20"/>
        </w:rPr>
        <w:t xml:space="preserve"> and stock assessment assumptions of non-commercial catch.</w:t>
      </w:r>
    </w:p>
    <w:p w14:paraId="663B7050" w14:textId="77777777" w:rsidR="00CE29B5" w:rsidRPr="00C40261" w:rsidRDefault="00CE29B5" w:rsidP="00CE29B5">
      <w:pPr>
        <w:rPr>
          <w:rFonts w:ascii="Arial" w:hAnsi="Arial" w:cs="Arial"/>
          <w:sz w:val="22"/>
          <w:szCs w:val="22"/>
        </w:rPr>
      </w:pPr>
    </w:p>
    <w:p w14:paraId="1150AB2C" w14:textId="47F9DE2B" w:rsidR="00CE29B5" w:rsidRPr="00086289" w:rsidRDefault="00CE29B5" w:rsidP="00CE29B5">
      <w:pPr>
        <w:keepNext/>
        <w:spacing w:after="120"/>
        <w:contextualSpacing w:val="0"/>
        <w:rPr>
          <w:rFonts w:ascii="Arial Narrow" w:hAnsi="Arial Narrow"/>
          <w:b/>
          <w:sz w:val="22"/>
          <w:szCs w:val="22"/>
        </w:rPr>
      </w:pPr>
      <w:r w:rsidRPr="00086289">
        <w:rPr>
          <w:rFonts w:ascii="Arial Narrow" w:hAnsi="Arial Narrow"/>
          <w:b/>
          <w:sz w:val="22"/>
          <w:szCs w:val="22"/>
        </w:rPr>
        <w:t xml:space="preserve">Table </w:t>
      </w:r>
      <w:r w:rsidR="00756AD5" w:rsidRPr="00086289">
        <w:rPr>
          <w:rFonts w:ascii="Arial Narrow" w:hAnsi="Arial Narrow"/>
          <w:b/>
          <w:sz w:val="22"/>
          <w:szCs w:val="22"/>
        </w:rPr>
        <w:t>4: Current CRA 3</w:t>
      </w:r>
      <w:r w:rsidRPr="00086289">
        <w:rPr>
          <w:rFonts w:ascii="Arial Narrow" w:hAnsi="Arial Narrow"/>
          <w:b/>
          <w:sz w:val="22"/>
          <w:szCs w:val="22"/>
        </w:rPr>
        <w:t xml:space="preserve"> allowances and model assumptions of non-commercial catches (in tonnes).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4"/>
        <w:gridCol w:w="1468"/>
        <w:gridCol w:w="1468"/>
        <w:gridCol w:w="1468"/>
        <w:gridCol w:w="1468"/>
      </w:tblGrid>
      <w:tr w:rsidR="00CE29B5" w:rsidRPr="005A515B" w14:paraId="7B4F7622" w14:textId="77777777" w:rsidTr="00001627">
        <w:trPr>
          <w:trHeight w:val="20"/>
        </w:trPr>
        <w:tc>
          <w:tcPr>
            <w:tcW w:w="1747" w:type="pct"/>
            <w:tcBorders>
              <w:top w:val="single" w:sz="4" w:space="0" w:color="auto"/>
              <w:left w:val="nil"/>
              <w:bottom w:val="single" w:sz="4" w:space="0" w:color="auto"/>
              <w:right w:val="nil"/>
            </w:tcBorders>
            <w:vAlign w:val="center"/>
          </w:tcPr>
          <w:p w14:paraId="5EC35EFF" w14:textId="67A1DD17" w:rsidR="00CE29B5" w:rsidRPr="00E22A43" w:rsidRDefault="00CE29B5" w:rsidP="00001627">
            <w:pPr>
              <w:spacing w:before="40" w:after="40"/>
              <w:contextualSpacing w:val="0"/>
              <w:rPr>
                <w:rFonts w:ascii="Arial Narrow" w:hAnsi="Arial Narrow"/>
                <w:b/>
                <w:sz w:val="20"/>
              </w:rPr>
            </w:pPr>
            <w:r>
              <w:rPr>
                <w:rFonts w:ascii="Arial Narrow" w:hAnsi="Arial Narrow"/>
                <w:b/>
                <w:sz w:val="20"/>
              </w:rPr>
              <w:t>CRA 3</w:t>
            </w:r>
          </w:p>
        </w:tc>
        <w:tc>
          <w:tcPr>
            <w:tcW w:w="813" w:type="pct"/>
            <w:tcBorders>
              <w:top w:val="single" w:sz="4" w:space="0" w:color="auto"/>
              <w:left w:val="nil"/>
              <w:bottom w:val="single" w:sz="4" w:space="0" w:color="auto"/>
              <w:right w:val="nil"/>
            </w:tcBorders>
            <w:vAlign w:val="center"/>
          </w:tcPr>
          <w:p w14:paraId="08203654" w14:textId="77777777" w:rsidR="00CE29B5" w:rsidRDefault="00CE29B5" w:rsidP="00001627">
            <w:pPr>
              <w:spacing w:before="40" w:after="40"/>
              <w:contextualSpacing w:val="0"/>
              <w:jc w:val="center"/>
              <w:rPr>
                <w:rFonts w:ascii="Arial Narrow" w:hAnsi="Arial Narrow"/>
                <w:b/>
                <w:sz w:val="20"/>
              </w:rPr>
            </w:pPr>
            <w:r w:rsidRPr="00E22A43">
              <w:rPr>
                <w:rFonts w:ascii="Arial Narrow" w:hAnsi="Arial Narrow"/>
                <w:b/>
                <w:sz w:val="20"/>
              </w:rPr>
              <w:t>Customary</w:t>
            </w:r>
          </w:p>
          <w:p w14:paraId="56D0F840" w14:textId="77777777" w:rsidR="00CE29B5" w:rsidRPr="00E22A43" w:rsidRDefault="00CE29B5" w:rsidP="00001627">
            <w:pPr>
              <w:spacing w:before="40" w:after="40"/>
              <w:contextualSpacing w:val="0"/>
              <w:jc w:val="center"/>
              <w:rPr>
                <w:rFonts w:ascii="Arial Narrow" w:hAnsi="Arial Narrow"/>
                <w:b/>
                <w:sz w:val="20"/>
              </w:rPr>
            </w:pPr>
            <w:r>
              <w:rPr>
                <w:rFonts w:ascii="Arial Narrow" w:hAnsi="Arial Narrow"/>
                <w:b/>
                <w:sz w:val="20"/>
              </w:rPr>
              <w:t>Māori</w:t>
            </w:r>
          </w:p>
        </w:tc>
        <w:tc>
          <w:tcPr>
            <w:tcW w:w="813" w:type="pct"/>
            <w:tcBorders>
              <w:top w:val="single" w:sz="4" w:space="0" w:color="auto"/>
              <w:left w:val="nil"/>
              <w:bottom w:val="single" w:sz="4" w:space="0" w:color="auto"/>
              <w:right w:val="nil"/>
            </w:tcBorders>
            <w:vAlign w:val="center"/>
          </w:tcPr>
          <w:p w14:paraId="29D090E2" w14:textId="77777777" w:rsidR="00CE29B5" w:rsidRPr="00E22A43" w:rsidRDefault="00CE29B5" w:rsidP="00001627">
            <w:pPr>
              <w:spacing w:before="40" w:after="40"/>
              <w:contextualSpacing w:val="0"/>
              <w:jc w:val="center"/>
              <w:rPr>
                <w:rFonts w:ascii="Arial Narrow" w:hAnsi="Arial Narrow"/>
                <w:b/>
                <w:sz w:val="20"/>
              </w:rPr>
            </w:pPr>
            <w:r w:rsidRPr="00E22A43">
              <w:rPr>
                <w:rFonts w:ascii="Arial Narrow" w:hAnsi="Arial Narrow"/>
                <w:b/>
                <w:sz w:val="20"/>
              </w:rPr>
              <w:t>Recreational</w:t>
            </w:r>
          </w:p>
        </w:tc>
        <w:tc>
          <w:tcPr>
            <w:tcW w:w="813" w:type="pct"/>
            <w:tcBorders>
              <w:top w:val="single" w:sz="4" w:space="0" w:color="auto"/>
              <w:left w:val="nil"/>
              <w:bottom w:val="single" w:sz="4" w:space="0" w:color="auto"/>
              <w:right w:val="nil"/>
            </w:tcBorders>
            <w:vAlign w:val="center"/>
          </w:tcPr>
          <w:p w14:paraId="4152FB94" w14:textId="77777777" w:rsidR="00CE29B5" w:rsidRPr="00E22A43" w:rsidRDefault="00CE29B5" w:rsidP="00001627">
            <w:pPr>
              <w:spacing w:before="40" w:after="40"/>
              <w:contextualSpacing w:val="0"/>
              <w:jc w:val="center"/>
              <w:rPr>
                <w:rFonts w:ascii="Arial Narrow" w:hAnsi="Arial Narrow"/>
                <w:b/>
                <w:sz w:val="20"/>
              </w:rPr>
            </w:pPr>
            <w:r w:rsidRPr="00E22A43">
              <w:rPr>
                <w:rFonts w:ascii="Arial Narrow" w:hAnsi="Arial Narrow"/>
                <w:b/>
                <w:sz w:val="20"/>
              </w:rPr>
              <w:t>Other mortality</w:t>
            </w:r>
          </w:p>
        </w:tc>
        <w:tc>
          <w:tcPr>
            <w:tcW w:w="813" w:type="pct"/>
            <w:tcBorders>
              <w:top w:val="single" w:sz="4" w:space="0" w:color="auto"/>
              <w:left w:val="nil"/>
              <w:bottom w:val="single" w:sz="4" w:space="0" w:color="auto"/>
              <w:right w:val="nil"/>
            </w:tcBorders>
            <w:vAlign w:val="center"/>
          </w:tcPr>
          <w:p w14:paraId="278A2F90" w14:textId="77777777" w:rsidR="00CE29B5" w:rsidRPr="00E22A43" w:rsidRDefault="00CE29B5" w:rsidP="00001627">
            <w:pPr>
              <w:spacing w:before="40" w:after="40"/>
              <w:contextualSpacing w:val="0"/>
              <w:jc w:val="center"/>
              <w:rPr>
                <w:rFonts w:ascii="Arial Narrow" w:hAnsi="Arial Narrow"/>
                <w:b/>
                <w:sz w:val="20"/>
              </w:rPr>
            </w:pPr>
            <w:r w:rsidRPr="00E22A43">
              <w:rPr>
                <w:rFonts w:ascii="Arial Narrow" w:hAnsi="Arial Narrow"/>
                <w:b/>
                <w:sz w:val="20"/>
              </w:rPr>
              <w:t>Total</w:t>
            </w:r>
          </w:p>
        </w:tc>
      </w:tr>
      <w:tr w:rsidR="00CE29B5" w:rsidRPr="005A515B" w14:paraId="567FD5B8" w14:textId="77777777" w:rsidTr="00001627">
        <w:trPr>
          <w:trHeight w:val="491"/>
        </w:trPr>
        <w:tc>
          <w:tcPr>
            <w:tcW w:w="1747" w:type="pct"/>
            <w:tcBorders>
              <w:top w:val="single" w:sz="4" w:space="0" w:color="auto"/>
              <w:left w:val="nil"/>
              <w:bottom w:val="nil"/>
              <w:right w:val="nil"/>
            </w:tcBorders>
            <w:vAlign w:val="center"/>
          </w:tcPr>
          <w:p w14:paraId="3273F9DA" w14:textId="77777777" w:rsidR="00CE29B5" w:rsidRPr="00E22A43" w:rsidRDefault="00CE29B5" w:rsidP="00001627">
            <w:pPr>
              <w:spacing w:before="40" w:after="40"/>
              <w:contextualSpacing w:val="0"/>
              <w:rPr>
                <w:rFonts w:ascii="Arial Narrow" w:hAnsi="Arial Narrow"/>
                <w:sz w:val="20"/>
              </w:rPr>
            </w:pPr>
            <w:r w:rsidRPr="00E22A43">
              <w:rPr>
                <w:rFonts w:ascii="Arial Narrow" w:hAnsi="Arial Narrow"/>
                <w:sz w:val="20"/>
              </w:rPr>
              <w:t>Current allowances</w:t>
            </w:r>
          </w:p>
        </w:tc>
        <w:tc>
          <w:tcPr>
            <w:tcW w:w="813" w:type="pct"/>
            <w:tcBorders>
              <w:top w:val="single" w:sz="4" w:space="0" w:color="auto"/>
              <w:left w:val="nil"/>
              <w:bottom w:val="nil"/>
              <w:right w:val="nil"/>
            </w:tcBorders>
            <w:vAlign w:val="center"/>
          </w:tcPr>
          <w:p w14:paraId="2644F1A5" w14:textId="677D1135" w:rsidR="00CE29B5" w:rsidRDefault="00CE29B5" w:rsidP="00001627">
            <w:pPr>
              <w:spacing w:before="40" w:after="40"/>
              <w:contextualSpacing w:val="0"/>
              <w:jc w:val="center"/>
              <w:rPr>
                <w:rFonts w:ascii="Arial Narrow" w:hAnsi="Arial Narrow"/>
                <w:sz w:val="20"/>
              </w:rPr>
            </w:pPr>
            <w:r>
              <w:rPr>
                <w:rFonts w:ascii="Arial Narrow" w:hAnsi="Arial Narrow"/>
                <w:sz w:val="20"/>
              </w:rPr>
              <w:t>20</w:t>
            </w:r>
          </w:p>
        </w:tc>
        <w:tc>
          <w:tcPr>
            <w:tcW w:w="813" w:type="pct"/>
            <w:tcBorders>
              <w:top w:val="single" w:sz="4" w:space="0" w:color="auto"/>
              <w:left w:val="nil"/>
              <w:bottom w:val="nil"/>
              <w:right w:val="nil"/>
            </w:tcBorders>
            <w:vAlign w:val="center"/>
          </w:tcPr>
          <w:p w14:paraId="3DF70B6D" w14:textId="26E4CCD4" w:rsidR="00CE29B5" w:rsidRDefault="00CE29B5" w:rsidP="00001627">
            <w:pPr>
              <w:spacing w:before="40" w:after="40"/>
              <w:contextualSpacing w:val="0"/>
              <w:jc w:val="center"/>
              <w:rPr>
                <w:rFonts w:ascii="Arial Narrow" w:hAnsi="Arial Narrow"/>
                <w:sz w:val="20"/>
              </w:rPr>
            </w:pPr>
            <w:r>
              <w:rPr>
                <w:rFonts w:ascii="Arial Narrow" w:hAnsi="Arial Narrow"/>
                <w:sz w:val="20"/>
              </w:rPr>
              <w:t>20</w:t>
            </w:r>
          </w:p>
        </w:tc>
        <w:tc>
          <w:tcPr>
            <w:tcW w:w="813" w:type="pct"/>
            <w:tcBorders>
              <w:top w:val="single" w:sz="4" w:space="0" w:color="auto"/>
              <w:left w:val="nil"/>
              <w:bottom w:val="nil"/>
              <w:right w:val="nil"/>
            </w:tcBorders>
            <w:vAlign w:val="center"/>
          </w:tcPr>
          <w:p w14:paraId="497E2F30" w14:textId="559FB4EB" w:rsidR="00CE29B5" w:rsidRDefault="00CE29B5" w:rsidP="00001627">
            <w:pPr>
              <w:spacing w:before="40" w:after="40"/>
              <w:contextualSpacing w:val="0"/>
              <w:jc w:val="center"/>
              <w:rPr>
                <w:rFonts w:ascii="Arial Narrow" w:hAnsi="Arial Narrow"/>
                <w:sz w:val="20"/>
              </w:rPr>
            </w:pPr>
            <w:r>
              <w:rPr>
                <w:rFonts w:ascii="Arial Narrow" w:hAnsi="Arial Narrow"/>
                <w:sz w:val="20"/>
              </w:rPr>
              <w:t>89</w:t>
            </w:r>
          </w:p>
        </w:tc>
        <w:tc>
          <w:tcPr>
            <w:tcW w:w="813" w:type="pct"/>
            <w:tcBorders>
              <w:top w:val="single" w:sz="4" w:space="0" w:color="auto"/>
              <w:left w:val="nil"/>
              <w:bottom w:val="nil"/>
              <w:right w:val="nil"/>
            </w:tcBorders>
            <w:vAlign w:val="center"/>
          </w:tcPr>
          <w:p w14:paraId="08E50F12" w14:textId="1D3A6843" w:rsidR="00CE29B5" w:rsidRDefault="00086289" w:rsidP="00001627">
            <w:pPr>
              <w:spacing w:before="40" w:after="40"/>
              <w:contextualSpacing w:val="0"/>
              <w:jc w:val="center"/>
              <w:rPr>
                <w:rFonts w:ascii="Arial Narrow" w:hAnsi="Arial Narrow"/>
                <w:sz w:val="20"/>
              </w:rPr>
            </w:pPr>
            <w:r w:rsidRPr="00086289">
              <w:rPr>
                <w:rFonts w:ascii="Arial Narrow" w:hAnsi="Arial Narrow"/>
                <w:sz w:val="20"/>
              </w:rPr>
              <w:t>129</w:t>
            </w:r>
          </w:p>
        </w:tc>
      </w:tr>
      <w:tr w:rsidR="00CE29B5" w:rsidRPr="005A515B" w14:paraId="655F60FE" w14:textId="77777777" w:rsidTr="00001627">
        <w:trPr>
          <w:trHeight w:val="336"/>
        </w:trPr>
        <w:tc>
          <w:tcPr>
            <w:tcW w:w="1747" w:type="pct"/>
            <w:tcBorders>
              <w:top w:val="nil"/>
              <w:left w:val="nil"/>
              <w:bottom w:val="single" w:sz="4" w:space="0" w:color="auto"/>
              <w:right w:val="nil"/>
            </w:tcBorders>
            <w:vAlign w:val="center"/>
          </w:tcPr>
          <w:p w14:paraId="0136C5D2" w14:textId="78C9B6FD" w:rsidR="00CE29B5" w:rsidRPr="00E22A43" w:rsidRDefault="00CE29B5" w:rsidP="00001627">
            <w:pPr>
              <w:spacing w:before="40" w:after="40"/>
              <w:contextualSpacing w:val="0"/>
              <w:rPr>
                <w:rFonts w:ascii="Arial Narrow" w:hAnsi="Arial Narrow"/>
                <w:sz w:val="20"/>
              </w:rPr>
            </w:pPr>
            <w:r w:rsidRPr="00E22A43">
              <w:rPr>
                <w:rFonts w:ascii="Arial Narrow" w:hAnsi="Arial Narrow"/>
                <w:sz w:val="20"/>
              </w:rPr>
              <w:t>N</w:t>
            </w:r>
            <w:r>
              <w:rPr>
                <w:rFonts w:ascii="Arial Narrow" w:hAnsi="Arial Narrow"/>
                <w:sz w:val="20"/>
              </w:rPr>
              <w:t>on-commercial catch assumptions</w:t>
            </w:r>
            <w:r>
              <w:rPr>
                <w:rFonts w:ascii="Arial Narrow" w:hAnsi="Arial Narrow"/>
                <w:sz w:val="20"/>
              </w:rPr>
              <w:br/>
              <w:t>for the 2014</w:t>
            </w:r>
            <w:r w:rsidRPr="00E22A43">
              <w:rPr>
                <w:rFonts w:ascii="Arial Narrow" w:hAnsi="Arial Narrow"/>
                <w:sz w:val="20"/>
              </w:rPr>
              <w:t xml:space="preserve"> stock assessment</w:t>
            </w:r>
          </w:p>
        </w:tc>
        <w:tc>
          <w:tcPr>
            <w:tcW w:w="813" w:type="pct"/>
            <w:tcBorders>
              <w:top w:val="nil"/>
              <w:left w:val="nil"/>
              <w:bottom w:val="single" w:sz="4" w:space="0" w:color="auto"/>
              <w:right w:val="nil"/>
            </w:tcBorders>
            <w:vAlign w:val="center"/>
          </w:tcPr>
          <w:p w14:paraId="2D4FB1D4" w14:textId="77777777" w:rsidR="00CE29B5" w:rsidRDefault="00CE29B5" w:rsidP="00001627">
            <w:pPr>
              <w:spacing w:before="40" w:after="40"/>
              <w:contextualSpacing w:val="0"/>
              <w:jc w:val="center"/>
              <w:rPr>
                <w:rFonts w:ascii="Arial Narrow" w:hAnsi="Arial Narrow"/>
                <w:sz w:val="20"/>
              </w:rPr>
            </w:pPr>
            <w:r>
              <w:rPr>
                <w:rFonts w:ascii="Arial Narrow" w:hAnsi="Arial Narrow"/>
                <w:sz w:val="20"/>
              </w:rPr>
              <w:t>20</w:t>
            </w:r>
          </w:p>
        </w:tc>
        <w:tc>
          <w:tcPr>
            <w:tcW w:w="813" w:type="pct"/>
            <w:tcBorders>
              <w:top w:val="nil"/>
              <w:left w:val="nil"/>
              <w:bottom w:val="single" w:sz="4" w:space="0" w:color="auto"/>
              <w:right w:val="nil"/>
            </w:tcBorders>
            <w:vAlign w:val="center"/>
          </w:tcPr>
          <w:p w14:paraId="6565CFC1" w14:textId="314D5A58" w:rsidR="00CE29B5" w:rsidRDefault="00CE29B5" w:rsidP="00001627">
            <w:pPr>
              <w:spacing w:before="40" w:after="40"/>
              <w:contextualSpacing w:val="0"/>
              <w:jc w:val="center"/>
              <w:rPr>
                <w:rFonts w:ascii="Arial Narrow" w:hAnsi="Arial Narrow"/>
                <w:sz w:val="20"/>
              </w:rPr>
            </w:pPr>
            <w:r>
              <w:rPr>
                <w:rFonts w:ascii="Arial Narrow" w:hAnsi="Arial Narrow"/>
                <w:sz w:val="20"/>
              </w:rPr>
              <w:t>Assumed to vary w</w:t>
            </w:r>
            <w:r w:rsidR="00086289">
              <w:rPr>
                <w:rFonts w:ascii="Arial Narrow" w:hAnsi="Arial Narrow"/>
                <w:sz w:val="20"/>
              </w:rPr>
              <w:t>ith biomass. Estimated at 20.42 for 2013</w:t>
            </w:r>
            <w:r>
              <w:rPr>
                <w:rFonts w:ascii="Arial Narrow" w:hAnsi="Arial Narrow"/>
                <w:sz w:val="20"/>
              </w:rPr>
              <w:t>.</w:t>
            </w:r>
          </w:p>
        </w:tc>
        <w:tc>
          <w:tcPr>
            <w:tcW w:w="813" w:type="pct"/>
            <w:tcBorders>
              <w:top w:val="nil"/>
              <w:left w:val="nil"/>
              <w:bottom w:val="single" w:sz="4" w:space="0" w:color="auto"/>
              <w:right w:val="nil"/>
            </w:tcBorders>
            <w:vAlign w:val="center"/>
          </w:tcPr>
          <w:p w14:paraId="0DE01E3C" w14:textId="4AA9E65C" w:rsidR="00CE29B5" w:rsidRDefault="00086289" w:rsidP="00086289">
            <w:pPr>
              <w:spacing w:before="40" w:after="40"/>
              <w:contextualSpacing w:val="0"/>
              <w:jc w:val="center"/>
              <w:rPr>
                <w:rFonts w:ascii="Arial Narrow" w:hAnsi="Arial Narrow"/>
                <w:sz w:val="20"/>
              </w:rPr>
            </w:pPr>
            <w:r>
              <w:rPr>
                <w:rFonts w:ascii="Arial Narrow" w:hAnsi="Arial Narrow"/>
                <w:sz w:val="20"/>
              </w:rPr>
              <w:t>89</w:t>
            </w:r>
          </w:p>
        </w:tc>
        <w:tc>
          <w:tcPr>
            <w:tcW w:w="813" w:type="pct"/>
            <w:tcBorders>
              <w:top w:val="nil"/>
              <w:left w:val="nil"/>
              <w:bottom w:val="single" w:sz="4" w:space="0" w:color="auto"/>
              <w:right w:val="nil"/>
            </w:tcBorders>
            <w:vAlign w:val="center"/>
          </w:tcPr>
          <w:p w14:paraId="69F48A02" w14:textId="3D08544B" w:rsidR="00CE29B5" w:rsidRDefault="00CE29B5" w:rsidP="00001627">
            <w:pPr>
              <w:spacing w:before="40" w:after="40"/>
              <w:contextualSpacing w:val="0"/>
              <w:jc w:val="center"/>
              <w:rPr>
                <w:rFonts w:ascii="Arial Narrow" w:hAnsi="Arial Narrow"/>
                <w:sz w:val="20"/>
              </w:rPr>
            </w:pPr>
            <w:r>
              <w:rPr>
                <w:rFonts w:ascii="Arial Narrow" w:hAnsi="Arial Narrow"/>
                <w:sz w:val="20"/>
              </w:rPr>
              <w:t>1</w:t>
            </w:r>
            <w:r w:rsidR="00086289">
              <w:rPr>
                <w:rFonts w:ascii="Arial Narrow" w:hAnsi="Arial Narrow"/>
                <w:sz w:val="20"/>
              </w:rPr>
              <w:t>29.42</w:t>
            </w:r>
          </w:p>
        </w:tc>
      </w:tr>
    </w:tbl>
    <w:p w14:paraId="1718CA31" w14:textId="77777777" w:rsidR="00CE29B5" w:rsidRDefault="00CE29B5" w:rsidP="00CE29B5">
      <w:pPr>
        <w:rPr>
          <w:rFonts w:ascii="Arial" w:hAnsi="Arial" w:cs="Arial"/>
          <w:sz w:val="22"/>
          <w:szCs w:val="22"/>
        </w:rPr>
      </w:pPr>
    </w:p>
    <w:p w14:paraId="1089F1A4" w14:textId="77777777" w:rsidR="00CE29B5" w:rsidRDefault="00CE29B5" w:rsidP="00A64F59">
      <w:pPr>
        <w:pStyle w:val="ListParagraph"/>
        <w:spacing w:after="60" w:line="240" w:lineRule="auto"/>
        <w:ind w:left="0"/>
        <w:contextualSpacing w:val="0"/>
        <w:jc w:val="left"/>
        <w:rPr>
          <w:rFonts w:ascii="Arial" w:hAnsi="Arial" w:cs="Arial"/>
        </w:rPr>
      </w:pPr>
    </w:p>
    <w:p w14:paraId="364D2E46" w14:textId="73257C00" w:rsidR="000B0A46" w:rsidRPr="00A64F59" w:rsidRDefault="00A64F59" w:rsidP="00A64F59">
      <w:pPr>
        <w:spacing w:after="60"/>
        <w:contextualSpacing w:val="0"/>
        <w:rPr>
          <w:rFonts w:ascii="Arial Narrow" w:hAnsi="Arial Narrow"/>
          <w:i/>
        </w:rPr>
      </w:pPr>
      <w:r>
        <w:rPr>
          <w:rFonts w:ascii="Arial Narrow" w:hAnsi="Arial Narrow"/>
          <w:i/>
        </w:rPr>
        <w:t>Customary Māori fishing</w:t>
      </w:r>
    </w:p>
    <w:p w14:paraId="49F4F60A" w14:textId="60E38222" w:rsidR="000B0A46" w:rsidRPr="00857D97" w:rsidRDefault="000B0A46" w:rsidP="000E51AE">
      <w:pPr>
        <w:pStyle w:val="ListParagraph"/>
        <w:numPr>
          <w:ilvl w:val="0"/>
          <w:numId w:val="26"/>
        </w:numPr>
        <w:spacing w:after="0" w:line="240" w:lineRule="auto"/>
        <w:ind w:left="567" w:hanging="567"/>
        <w:jc w:val="left"/>
        <w:rPr>
          <w:rFonts w:ascii="Arial" w:hAnsi="Arial" w:cs="Arial"/>
        </w:rPr>
      </w:pPr>
      <w:r w:rsidRPr="00857D97">
        <w:rPr>
          <w:rFonts w:ascii="Arial" w:hAnsi="Arial" w:cs="Arial"/>
        </w:rPr>
        <w:t>No change is proposed to the 20 tonne customary Māori allowance for CRA 3.</w:t>
      </w:r>
      <w:r w:rsidR="00CA2F99">
        <w:rPr>
          <w:rFonts w:ascii="Arial" w:hAnsi="Arial" w:cs="Arial"/>
        </w:rPr>
        <w:t xml:space="preserve"> </w:t>
      </w:r>
      <w:r w:rsidR="007440F3">
        <w:rPr>
          <w:rFonts w:ascii="Arial" w:hAnsi="Arial" w:cs="Arial"/>
        </w:rPr>
        <w:t>While n</w:t>
      </w:r>
      <w:r w:rsidR="00CA2F99" w:rsidRPr="00857D97">
        <w:rPr>
          <w:rFonts w:ascii="Arial" w:hAnsi="Arial" w:cs="Arial"/>
        </w:rPr>
        <w:t>oting the incompleteness and uncertainty in the CRA 3 customary harvest information, it is assumed that current harvest is within the 20 tonne allowance allocated for customary Māori interests.</w:t>
      </w:r>
    </w:p>
    <w:p w14:paraId="558FC9D4" w14:textId="77777777" w:rsidR="000B0A46" w:rsidRPr="00857D97" w:rsidRDefault="000B0A46" w:rsidP="00857D97">
      <w:pPr>
        <w:ind w:left="567" w:hanging="567"/>
        <w:rPr>
          <w:rFonts w:ascii="Arial" w:hAnsi="Arial" w:cs="Arial"/>
        </w:rPr>
      </w:pPr>
    </w:p>
    <w:p w14:paraId="5541B41A" w14:textId="3DDBE58B" w:rsidR="000B0A46" w:rsidRPr="00A64F59" w:rsidRDefault="00A64F59" w:rsidP="00A64F59">
      <w:pPr>
        <w:spacing w:after="60"/>
        <w:contextualSpacing w:val="0"/>
        <w:rPr>
          <w:rFonts w:ascii="Arial Narrow" w:hAnsi="Arial Narrow"/>
          <w:i/>
        </w:rPr>
      </w:pPr>
      <w:r w:rsidRPr="00A64F59">
        <w:rPr>
          <w:rFonts w:ascii="Arial Narrow" w:hAnsi="Arial Narrow"/>
          <w:i/>
        </w:rPr>
        <w:t>Recreational fishing</w:t>
      </w:r>
    </w:p>
    <w:p w14:paraId="4230F29C" w14:textId="419C9589" w:rsidR="007440F3" w:rsidRPr="0055420B" w:rsidRDefault="007440F3" w:rsidP="007440F3">
      <w:pPr>
        <w:pStyle w:val="ListParagraph"/>
        <w:numPr>
          <w:ilvl w:val="0"/>
          <w:numId w:val="26"/>
        </w:numPr>
        <w:spacing w:after="0" w:line="240" w:lineRule="auto"/>
        <w:ind w:left="567" w:hanging="567"/>
        <w:jc w:val="left"/>
        <w:rPr>
          <w:rFonts w:ascii="Arial" w:hAnsi="Arial" w:cs="Arial"/>
          <w:szCs w:val="20"/>
        </w:rPr>
      </w:pPr>
      <w:r>
        <w:rPr>
          <w:rFonts w:ascii="Arial" w:hAnsi="Arial" w:cs="Arial"/>
        </w:rPr>
        <w:t xml:space="preserve">No change is proposed to the 20 tonne recreational allowance for CRA </w:t>
      </w:r>
      <w:r w:rsidR="003C1C4A">
        <w:rPr>
          <w:rFonts w:ascii="Arial" w:hAnsi="Arial" w:cs="Arial"/>
        </w:rPr>
        <w:t>3</w:t>
      </w:r>
      <w:r>
        <w:rPr>
          <w:rFonts w:ascii="Arial" w:hAnsi="Arial" w:cs="Arial"/>
        </w:rPr>
        <w:t>.</w:t>
      </w:r>
      <w:r w:rsidR="003C1C4A">
        <w:rPr>
          <w:rFonts w:ascii="Arial" w:hAnsi="Arial" w:cs="Arial"/>
        </w:rPr>
        <w:t xml:space="preserve"> </w:t>
      </w:r>
      <w:r w:rsidR="00B91EAB">
        <w:rPr>
          <w:rFonts w:ascii="Arial" w:hAnsi="Arial" w:cs="Arial"/>
        </w:rPr>
        <w:t>T</w:t>
      </w:r>
      <w:r w:rsidR="004F11BA">
        <w:rPr>
          <w:rFonts w:ascii="Arial" w:hAnsi="Arial" w:cs="Arial"/>
        </w:rPr>
        <w:t>here is uncertainty in this</w:t>
      </w:r>
      <w:r>
        <w:rPr>
          <w:rFonts w:ascii="Arial" w:hAnsi="Arial" w:cs="Arial"/>
        </w:rPr>
        <w:t xml:space="preserve"> current estimate of rec</w:t>
      </w:r>
      <w:r w:rsidR="00B91EAB">
        <w:rPr>
          <w:rFonts w:ascii="Arial" w:hAnsi="Arial" w:cs="Arial"/>
        </w:rPr>
        <w:t>reational catch</w:t>
      </w:r>
      <w:r w:rsidR="004F11BA">
        <w:rPr>
          <w:rFonts w:ascii="Arial" w:hAnsi="Arial" w:cs="Arial"/>
        </w:rPr>
        <w:t>.</w:t>
      </w:r>
    </w:p>
    <w:p w14:paraId="43146080" w14:textId="4CA5E6C9" w:rsidR="00DF3B3B" w:rsidRPr="007440F3" w:rsidRDefault="00DF3B3B" w:rsidP="000B0A46">
      <w:pPr>
        <w:rPr>
          <w:rFonts w:ascii="Arial" w:hAnsi="Arial" w:cs="Arial"/>
        </w:rPr>
      </w:pPr>
    </w:p>
    <w:p w14:paraId="57FA918F" w14:textId="34DF8E3F" w:rsidR="00DF3B3B" w:rsidRDefault="003C1C4A" w:rsidP="00DF3B3B">
      <w:pPr>
        <w:pStyle w:val="ListParagraph"/>
        <w:numPr>
          <w:ilvl w:val="0"/>
          <w:numId w:val="26"/>
        </w:numPr>
        <w:spacing w:after="0" w:line="240" w:lineRule="auto"/>
        <w:ind w:left="567" w:hanging="567"/>
        <w:jc w:val="left"/>
        <w:rPr>
          <w:rFonts w:ascii="Arial" w:hAnsi="Arial" w:cs="Arial"/>
        </w:rPr>
      </w:pPr>
      <w:r>
        <w:rPr>
          <w:rFonts w:ascii="Arial" w:hAnsi="Arial" w:cs="Arial"/>
        </w:rPr>
        <w:t xml:space="preserve">The 20 tonne recreational allowance was first set in 2005 on the basis of estimates available from </w:t>
      </w:r>
      <w:r w:rsidRPr="00AA471C">
        <w:rPr>
          <w:rFonts w:ascii="Arial" w:hAnsi="Arial" w:cs="Arial"/>
        </w:rPr>
        <w:t>surveys at the time, which are now considered to be bias</w:t>
      </w:r>
      <w:r w:rsidR="00EC1D35" w:rsidRPr="00AA471C">
        <w:rPr>
          <w:rFonts w:ascii="Arial" w:hAnsi="Arial" w:cs="Arial"/>
        </w:rPr>
        <w:t>ed</w:t>
      </w:r>
      <w:r w:rsidR="004F11BA" w:rsidRPr="00AA471C">
        <w:rPr>
          <w:rFonts w:ascii="Arial" w:hAnsi="Arial" w:cs="Arial"/>
        </w:rPr>
        <w:t xml:space="preserve"> and </w:t>
      </w:r>
      <w:r w:rsidR="00AA471C" w:rsidRPr="00AA471C">
        <w:rPr>
          <w:rFonts w:ascii="Arial" w:hAnsi="Arial" w:cs="Arial"/>
        </w:rPr>
        <w:t xml:space="preserve">likely to be </w:t>
      </w:r>
      <w:r w:rsidR="004F11BA" w:rsidRPr="00AA471C">
        <w:rPr>
          <w:rFonts w:ascii="Arial" w:hAnsi="Arial" w:cs="Arial"/>
        </w:rPr>
        <w:t>overestimate</w:t>
      </w:r>
      <w:r w:rsidR="00AA471C" w:rsidRPr="00AA471C">
        <w:rPr>
          <w:rFonts w:ascii="Arial" w:hAnsi="Arial" w:cs="Arial"/>
        </w:rPr>
        <w:t>s</w:t>
      </w:r>
      <w:r w:rsidRPr="00AA471C">
        <w:rPr>
          <w:rFonts w:ascii="Arial" w:hAnsi="Arial" w:cs="Arial"/>
        </w:rPr>
        <w:t xml:space="preserve">. </w:t>
      </w:r>
      <w:r w:rsidR="00DF3B3B" w:rsidRPr="00AA471C">
        <w:rPr>
          <w:rFonts w:ascii="Arial" w:hAnsi="Arial" w:cs="Arial"/>
        </w:rPr>
        <w:t>New</w:t>
      </w:r>
      <w:r w:rsidR="00DF3B3B">
        <w:rPr>
          <w:rFonts w:ascii="Arial" w:hAnsi="Arial" w:cs="Arial"/>
        </w:rPr>
        <w:t xml:space="preserve"> information on CRA 3 recreational harvest is expected in 2019 from the 2017/18 National Panel Survey of recreational harvest. This information will be considered as part of the new CRA 3 stock assessment currently proposed for 2019, which will help to inform whether the CRA 3 recreational allowance should be varied or other management controls should be considered. If CRA 3 stock abundance </w:t>
      </w:r>
      <w:r w:rsidR="00DF3B3B">
        <w:rPr>
          <w:rFonts w:ascii="Arial" w:hAnsi="Arial" w:cs="Arial"/>
        </w:rPr>
        <w:lastRenderedPageBreak/>
        <w:t>continues to decline, a review of management controls for all sectors is likely to be considered.</w:t>
      </w:r>
    </w:p>
    <w:p w14:paraId="7F06F6A2" w14:textId="77777777" w:rsidR="003C1C4A" w:rsidRPr="00161801" w:rsidRDefault="003C1C4A" w:rsidP="00A64F59">
      <w:pPr>
        <w:spacing w:after="60"/>
        <w:contextualSpacing w:val="0"/>
        <w:rPr>
          <w:rFonts w:ascii="Arial" w:hAnsi="Arial" w:cs="Arial"/>
          <w:i/>
        </w:rPr>
      </w:pPr>
    </w:p>
    <w:p w14:paraId="32A142A1" w14:textId="49308ECD" w:rsidR="000B0A46" w:rsidRPr="00A64F59" w:rsidRDefault="004E2FCA" w:rsidP="00A64F59">
      <w:pPr>
        <w:spacing w:after="60"/>
        <w:contextualSpacing w:val="0"/>
        <w:rPr>
          <w:rFonts w:ascii="Arial Narrow" w:hAnsi="Arial Narrow"/>
          <w:i/>
        </w:rPr>
      </w:pPr>
      <w:r>
        <w:rPr>
          <w:rFonts w:ascii="Arial Narrow" w:hAnsi="Arial Narrow"/>
          <w:i/>
        </w:rPr>
        <w:t>Other mortality</w:t>
      </w:r>
    </w:p>
    <w:p w14:paraId="4A050425" w14:textId="54FFA324" w:rsidR="006B4070" w:rsidRDefault="000B0A46" w:rsidP="00A64F59">
      <w:pPr>
        <w:pStyle w:val="ListParagraph"/>
        <w:numPr>
          <w:ilvl w:val="0"/>
          <w:numId w:val="26"/>
        </w:numPr>
        <w:spacing w:after="0" w:line="240" w:lineRule="auto"/>
        <w:ind w:left="567" w:hanging="567"/>
        <w:jc w:val="left"/>
        <w:rPr>
          <w:rFonts w:ascii="Arial" w:hAnsi="Arial" w:cs="Arial"/>
        </w:rPr>
      </w:pPr>
      <w:r w:rsidRPr="007440F3">
        <w:rPr>
          <w:rFonts w:ascii="Arial" w:hAnsi="Arial" w:cs="Arial"/>
        </w:rPr>
        <w:t>No change is proposed to the 89 tonne CRA 3 allowance for other sources of fishing-related mor</w:t>
      </w:r>
      <w:r w:rsidR="0044012F" w:rsidRPr="007440F3">
        <w:rPr>
          <w:rFonts w:ascii="Arial" w:hAnsi="Arial" w:cs="Arial"/>
        </w:rPr>
        <w:t>tality.</w:t>
      </w:r>
      <w:r w:rsidR="00A64F59" w:rsidRPr="007440F3">
        <w:rPr>
          <w:rFonts w:ascii="Arial" w:hAnsi="Arial" w:cs="Arial"/>
        </w:rPr>
        <w:t xml:space="preserve"> It is considered that there are moderate to high levels of illegal fishing in CRA 3, however it difficult to get an accurate estimate given that illegal take is not easily detected.</w:t>
      </w:r>
      <w:r w:rsidR="007440F3">
        <w:rPr>
          <w:rFonts w:ascii="Arial" w:hAnsi="Arial" w:cs="Arial"/>
        </w:rPr>
        <w:t xml:space="preserve"> </w:t>
      </w:r>
    </w:p>
    <w:p w14:paraId="78F918B7" w14:textId="70BCD560" w:rsidR="006B4070" w:rsidRDefault="006B4070" w:rsidP="006B4070">
      <w:pPr>
        <w:pStyle w:val="ListParagraph"/>
        <w:spacing w:after="0" w:line="240" w:lineRule="auto"/>
        <w:ind w:left="567"/>
        <w:jc w:val="left"/>
        <w:rPr>
          <w:rFonts w:ascii="Arial" w:hAnsi="Arial" w:cs="Arial"/>
        </w:rPr>
      </w:pPr>
    </w:p>
    <w:p w14:paraId="5A122250" w14:textId="3AB01489" w:rsidR="000B0A46" w:rsidRPr="006B4070" w:rsidRDefault="007440F3" w:rsidP="006B4070">
      <w:pPr>
        <w:pStyle w:val="ListParagraph"/>
        <w:numPr>
          <w:ilvl w:val="0"/>
          <w:numId w:val="26"/>
        </w:numPr>
        <w:spacing w:after="0" w:line="240" w:lineRule="auto"/>
        <w:ind w:left="567" w:hanging="567"/>
        <w:jc w:val="left"/>
        <w:rPr>
          <w:rFonts w:ascii="Arial" w:hAnsi="Arial" w:cs="Arial"/>
        </w:rPr>
      </w:pPr>
      <w:r w:rsidRPr="00793EE3">
        <w:rPr>
          <w:rFonts w:ascii="Arial" w:hAnsi="Arial" w:cs="Arial"/>
        </w:rPr>
        <w:t>The 89 tonne ot</w:t>
      </w:r>
      <w:r>
        <w:rPr>
          <w:rFonts w:ascii="Arial" w:hAnsi="Arial" w:cs="Arial"/>
        </w:rPr>
        <w:t xml:space="preserve">her mortality allowance </w:t>
      </w:r>
      <w:r w:rsidRPr="00793EE3">
        <w:rPr>
          <w:rFonts w:ascii="Arial" w:hAnsi="Arial" w:cs="Arial"/>
        </w:rPr>
        <w:t xml:space="preserve">was first set in 2005 based on historical </w:t>
      </w:r>
      <w:r>
        <w:rPr>
          <w:rFonts w:ascii="Arial" w:hAnsi="Arial" w:cs="Arial"/>
        </w:rPr>
        <w:t xml:space="preserve">(and uncertain) </w:t>
      </w:r>
      <w:r w:rsidRPr="00793EE3">
        <w:rPr>
          <w:rFonts w:ascii="Arial" w:hAnsi="Arial" w:cs="Arial"/>
        </w:rPr>
        <w:t>illegal take estimates.</w:t>
      </w:r>
      <w:r w:rsidR="006B4070">
        <w:rPr>
          <w:rFonts w:ascii="Arial" w:hAnsi="Arial" w:cs="Arial"/>
        </w:rPr>
        <w:t xml:space="preserve"> </w:t>
      </w:r>
      <w:r w:rsidR="00904ABA" w:rsidRPr="006B4070">
        <w:rPr>
          <w:rFonts w:ascii="Arial" w:hAnsi="Arial" w:cs="Arial"/>
        </w:rPr>
        <w:t>Fisheries New Zealand, along with Fisheries Compliance are curr</w:t>
      </w:r>
      <w:r w:rsidR="0044012F" w:rsidRPr="006B4070">
        <w:rPr>
          <w:rFonts w:ascii="Arial" w:hAnsi="Arial" w:cs="Arial"/>
        </w:rPr>
        <w:t xml:space="preserve">ently exploring ways to </w:t>
      </w:r>
      <w:r w:rsidR="00904ABA" w:rsidRPr="006B4070">
        <w:rPr>
          <w:rFonts w:ascii="Arial" w:hAnsi="Arial" w:cs="Arial"/>
        </w:rPr>
        <w:t>estimate illegal take</w:t>
      </w:r>
      <w:r w:rsidR="0044012F" w:rsidRPr="006B4070">
        <w:rPr>
          <w:rFonts w:ascii="Arial" w:hAnsi="Arial" w:cs="Arial"/>
        </w:rPr>
        <w:t xml:space="preserve"> better</w:t>
      </w:r>
      <w:r w:rsidR="00EC1D35">
        <w:rPr>
          <w:rFonts w:ascii="Arial" w:hAnsi="Arial" w:cs="Arial"/>
        </w:rPr>
        <w:t>. A new estimate of illegal take should be</w:t>
      </w:r>
      <w:r w:rsidR="00904ABA" w:rsidRPr="006B4070">
        <w:rPr>
          <w:rFonts w:ascii="Arial" w:hAnsi="Arial" w:cs="Arial"/>
        </w:rPr>
        <w:t xml:space="preserve"> available in time to inform a new CRA 3 stock assessment currently scheduled for later in 2019. </w:t>
      </w:r>
      <w:r w:rsidR="00161801">
        <w:rPr>
          <w:rFonts w:ascii="Arial" w:hAnsi="Arial" w:cs="Arial"/>
        </w:rPr>
        <w:t>An estimate of handling-</w:t>
      </w:r>
      <w:r w:rsidR="0044012F" w:rsidRPr="006B4070">
        <w:rPr>
          <w:rFonts w:ascii="Arial" w:hAnsi="Arial" w:cs="Arial"/>
        </w:rPr>
        <w:t xml:space="preserve">related mortality </w:t>
      </w:r>
      <w:r w:rsidR="00DC691A" w:rsidRPr="006B4070">
        <w:rPr>
          <w:rFonts w:ascii="Arial" w:hAnsi="Arial" w:cs="Arial"/>
        </w:rPr>
        <w:t xml:space="preserve">should also be available from </w:t>
      </w:r>
      <w:r w:rsidR="0044012F" w:rsidRPr="006B4070">
        <w:rPr>
          <w:rFonts w:ascii="Arial" w:hAnsi="Arial" w:cs="Arial"/>
        </w:rPr>
        <w:t>the proposed 2019 CRA 3 stock assessment</w:t>
      </w:r>
      <w:r w:rsidR="00DC691A" w:rsidRPr="006B4070">
        <w:rPr>
          <w:rFonts w:ascii="Arial" w:hAnsi="Arial" w:cs="Arial"/>
        </w:rPr>
        <w:t xml:space="preserve">. </w:t>
      </w:r>
      <w:r w:rsidR="00904ABA" w:rsidRPr="006B4070">
        <w:rPr>
          <w:rFonts w:ascii="Arial" w:hAnsi="Arial" w:cs="Arial"/>
        </w:rPr>
        <w:t>Th</w:t>
      </w:r>
      <w:r w:rsidR="008D6F87" w:rsidRPr="006B4070">
        <w:rPr>
          <w:rFonts w:ascii="Arial" w:hAnsi="Arial" w:cs="Arial"/>
        </w:rPr>
        <w:t xml:space="preserve">e intention </w:t>
      </w:r>
      <w:r w:rsidR="00904ABA" w:rsidRPr="006B4070">
        <w:rPr>
          <w:rFonts w:ascii="Arial" w:hAnsi="Arial" w:cs="Arial"/>
        </w:rPr>
        <w:t xml:space="preserve">is </w:t>
      </w:r>
      <w:r w:rsidR="008D6F87" w:rsidRPr="006B4070">
        <w:rPr>
          <w:rFonts w:ascii="Arial" w:hAnsi="Arial" w:cs="Arial"/>
        </w:rPr>
        <w:t xml:space="preserve">for this </w:t>
      </w:r>
      <w:r w:rsidR="00904ABA" w:rsidRPr="006B4070">
        <w:rPr>
          <w:rFonts w:ascii="Arial" w:hAnsi="Arial" w:cs="Arial"/>
        </w:rPr>
        <w:t xml:space="preserve">information </w:t>
      </w:r>
      <w:r w:rsidR="008D6F87" w:rsidRPr="006B4070">
        <w:rPr>
          <w:rFonts w:ascii="Arial" w:hAnsi="Arial" w:cs="Arial"/>
        </w:rPr>
        <w:t xml:space="preserve">to be </w:t>
      </w:r>
      <w:r w:rsidR="004F11BA">
        <w:rPr>
          <w:rFonts w:ascii="Arial" w:hAnsi="Arial" w:cs="Arial"/>
        </w:rPr>
        <w:t>considered in future TAC</w:t>
      </w:r>
      <w:r w:rsidR="00904ABA" w:rsidRPr="006B4070">
        <w:rPr>
          <w:rFonts w:ascii="Arial" w:hAnsi="Arial" w:cs="Arial"/>
        </w:rPr>
        <w:t xml:space="preserve"> setting</w:t>
      </w:r>
      <w:r w:rsidR="004F11BA">
        <w:rPr>
          <w:rFonts w:ascii="Arial" w:hAnsi="Arial" w:cs="Arial"/>
        </w:rPr>
        <w:t>, and in the setting of allowance for other</w:t>
      </w:r>
      <w:r w:rsidR="00161801">
        <w:rPr>
          <w:rFonts w:ascii="Arial" w:hAnsi="Arial" w:cs="Arial"/>
        </w:rPr>
        <w:t xml:space="preserve"> sources of fishing-related morta</w:t>
      </w:r>
      <w:r w:rsidR="004F11BA">
        <w:rPr>
          <w:rFonts w:ascii="Arial" w:hAnsi="Arial" w:cs="Arial"/>
        </w:rPr>
        <w:t>lity</w:t>
      </w:r>
      <w:r w:rsidR="00904ABA" w:rsidRPr="006B4070">
        <w:rPr>
          <w:rFonts w:ascii="Arial" w:hAnsi="Arial" w:cs="Arial"/>
        </w:rPr>
        <w:t>.</w:t>
      </w:r>
    </w:p>
    <w:p w14:paraId="11072FA2" w14:textId="259C931B" w:rsidR="00157BE9" w:rsidRDefault="00157BE9" w:rsidP="00157BE9">
      <w:pPr>
        <w:rPr>
          <w:rFonts w:ascii="Arial" w:hAnsi="Arial" w:cs="Arial"/>
        </w:rPr>
      </w:pPr>
    </w:p>
    <w:p w14:paraId="1DC58EC8" w14:textId="0B1B6CBB" w:rsidR="000B0A46" w:rsidRDefault="006C4CA0" w:rsidP="000B0A46">
      <w:pPr>
        <w:pStyle w:val="Heading3"/>
        <w:keepLines w:val="0"/>
        <w:numPr>
          <w:ilvl w:val="2"/>
          <w:numId w:val="0"/>
        </w:numPr>
        <w:spacing w:after="60"/>
        <w:ind w:left="720" w:hanging="720"/>
      </w:pPr>
      <w:r>
        <w:t>Total Allowable Commercial Catch</w:t>
      </w:r>
    </w:p>
    <w:p w14:paraId="350DB709" w14:textId="0FDCB36D" w:rsidR="007D1930" w:rsidRPr="007D1930" w:rsidRDefault="007D1930" w:rsidP="007D1930">
      <w:pPr>
        <w:rPr>
          <w:rFonts w:ascii="Arial" w:hAnsi="Arial" w:cs="Arial"/>
          <w:sz w:val="22"/>
          <w:szCs w:val="22"/>
        </w:rPr>
      </w:pPr>
    </w:p>
    <w:p w14:paraId="73F6C4D7" w14:textId="3F554B58" w:rsidR="00AE5C4A" w:rsidRPr="00982C6D" w:rsidRDefault="00AE5C4A" w:rsidP="000E51AE">
      <w:pPr>
        <w:pStyle w:val="ListParagraph"/>
        <w:numPr>
          <w:ilvl w:val="0"/>
          <w:numId w:val="26"/>
        </w:numPr>
        <w:spacing w:after="0" w:line="240" w:lineRule="auto"/>
        <w:ind w:left="567" w:hanging="567"/>
        <w:jc w:val="left"/>
        <w:rPr>
          <w:rFonts w:ascii="Arial" w:hAnsi="Arial" w:cs="Arial"/>
        </w:rPr>
      </w:pPr>
      <w:r w:rsidRPr="00982C6D">
        <w:rPr>
          <w:rFonts w:ascii="Arial" w:hAnsi="Arial" w:cs="Arial"/>
        </w:rPr>
        <w:t>Under Option CRA3_01, the CRA 3 TACC would stay at its current level</w:t>
      </w:r>
      <w:r w:rsidR="004E2FCA">
        <w:rPr>
          <w:rFonts w:ascii="Arial" w:hAnsi="Arial" w:cs="Arial"/>
        </w:rPr>
        <w:t xml:space="preserve"> of 237.86 tonnes</w:t>
      </w:r>
      <w:r w:rsidRPr="00982C6D">
        <w:rPr>
          <w:rFonts w:ascii="Arial" w:hAnsi="Arial" w:cs="Arial"/>
        </w:rPr>
        <w:t xml:space="preserve">. This option would maintain the current commercial </w:t>
      </w:r>
      <w:r w:rsidR="002375B4">
        <w:rPr>
          <w:rFonts w:ascii="Arial" w:hAnsi="Arial" w:cs="Arial"/>
        </w:rPr>
        <w:t>utilisation</w:t>
      </w:r>
      <w:r w:rsidRPr="00982C6D">
        <w:rPr>
          <w:rFonts w:ascii="Arial" w:hAnsi="Arial" w:cs="Arial"/>
        </w:rPr>
        <w:t xml:space="preserve"> opportunities.</w:t>
      </w:r>
    </w:p>
    <w:p w14:paraId="5F07B598" w14:textId="77777777" w:rsidR="00AE5C4A" w:rsidRPr="00793EE3" w:rsidRDefault="00AE5C4A" w:rsidP="000B0A46">
      <w:pPr>
        <w:rPr>
          <w:rFonts w:ascii="Arial" w:hAnsi="Arial" w:cs="Arial"/>
          <w:sz w:val="22"/>
          <w:szCs w:val="22"/>
        </w:rPr>
      </w:pPr>
    </w:p>
    <w:p w14:paraId="5E81D8C5" w14:textId="2030C4EA" w:rsidR="000B0A46" w:rsidRPr="00982C6D" w:rsidRDefault="000B0A46" w:rsidP="000E51AE">
      <w:pPr>
        <w:pStyle w:val="ListParagraph"/>
        <w:numPr>
          <w:ilvl w:val="0"/>
          <w:numId w:val="26"/>
        </w:numPr>
        <w:spacing w:after="0" w:line="240" w:lineRule="auto"/>
        <w:ind w:left="567" w:hanging="567"/>
        <w:jc w:val="left"/>
        <w:rPr>
          <w:rFonts w:ascii="Arial" w:hAnsi="Arial" w:cs="Arial"/>
        </w:rPr>
      </w:pPr>
      <w:r w:rsidRPr="00982C6D">
        <w:rPr>
          <w:rFonts w:ascii="Arial" w:hAnsi="Arial" w:cs="Arial"/>
        </w:rPr>
        <w:t>Under Option CR</w:t>
      </w:r>
      <w:r w:rsidR="00AE5C4A" w:rsidRPr="00982C6D">
        <w:rPr>
          <w:rFonts w:ascii="Arial" w:hAnsi="Arial" w:cs="Arial"/>
        </w:rPr>
        <w:t>A3_02,</w:t>
      </w:r>
      <w:r w:rsidRPr="00982C6D">
        <w:rPr>
          <w:rFonts w:ascii="Arial" w:hAnsi="Arial" w:cs="Arial"/>
        </w:rPr>
        <w:t xml:space="preserve"> the CRA 3 TACC would be decreased to </w:t>
      </w:r>
      <w:r w:rsidR="00161801">
        <w:rPr>
          <w:rFonts w:ascii="Arial" w:hAnsi="Arial" w:cs="Arial"/>
        </w:rPr>
        <w:t>222.9 tonnes from 1 </w:t>
      </w:r>
      <w:r w:rsidR="00AE5C4A" w:rsidRPr="00982C6D">
        <w:rPr>
          <w:rFonts w:ascii="Arial" w:hAnsi="Arial" w:cs="Arial"/>
        </w:rPr>
        <w:t>April 2019</w:t>
      </w:r>
      <w:r w:rsidRPr="00982C6D">
        <w:rPr>
          <w:rFonts w:ascii="Arial" w:hAnsi="Arial" w:cs="Arial"/>
        </w:rPr>
        <w:t xml:space="preserve">, as guided by the use of the CRA 3 management procedure. The proposed </w:t>
      </w:r>
      <w:r w:rsidR="00AE5C4A" w:rsidRPr="00982C6D">
        <w:rPr>
          <w:rFonts w:ascii="Arial" w:hAnsi="Arial" w:cs="Arial"/>
        </w:rPr>
        <w:t>15</w:t>
      </w:r>
      <w:r w:rsidRPr="00982C6D">
        <w:rPr>
          <w:rFonts w:ascii="Arial" w:hAnsi="Arial" w:cs="Arial"/>
        </w:rPr>
        <w:t xml:space="preserve"> tonne TACC decrease has the potential to result in a loss of </w:t>
      </w:r>
      <w:r w:rsidR="002375B4">
        <w:rPr>
          <w:rFonts w:ascii="Arial" w:hAnsi="Arial" w:cs="Arial"/>
        </w:rPr>
        <w:t xml:space="preserve">annual </w:t>
      </w:r>
      <w:r w:rsidRPr="00982C6D">
        <w:rPr>
          <w:rFonts w:ascii="Arial" w:hAnsi="Arial" w:cs="Arial"/>
        </w:rPr>
        <w:t xml:space="preserve">revenue </w:t>
      </w:r>
      <w:r w:rsidR="002375B4">
        <w:rPr>
          <w:rFonts w:ascii="Arial" w:hAnsi="Arial" w:cs="Arial"/>
        </w:rPr>
        <w:t xml:space="preserve">to the catching sector alone </w:t>
      </w:r>
      <w:r w:rsidRPr="00982C6D">
        <w:rPr>
          <w:rFonts w:ascii="Arial" w:hAnsi="Arial" w:cs="Arial"/>
        </w:rPr>
        <w:t xml:space="preserve">of approximately </w:t>
      </w:r>
      <w:r w:rsidRPr="000E51AE">
        <w:rPr>
          <w:rFonts w:ascii="Arial" w:hAnsi="Arial" w:cs="Arial"/>
        </w:rPr>
        <w:t>$1.</w:t>
      </w:r>
      <w:r w:rsidR="005F7E3D" w:rsidRPr="00E1727C">
        <w:rPr>
          <w:rFonts w:ascii="Arial" w:hAnsi="Arial" w:cs="Arial"/>
        </w:rPr>
        <w:t>2</w:t>
      </w:r>
      <w:r w:rsidRPr="000E51AE">
        <w:rPr>
          <w:rFonts w:ascii="Arial" w:hAnsi="Arial" w:cs="Arial"/>
        </w:rPr>
        <w:t xml:space="preserve"> million</w:t>
      </w:r>
      <w:r w:rsidRPr="00982C6D">
        <w:rPr>
          <w:rFonts w:ascii="Arial" w:hAnsi="Arial" w:cs="Arial"/>
        </w:rPr>
        <w:t xml:space="preserve"> (based on 201</w:t>
      </w:r>
      <w:r w:rsidR="00867ABD">
        <w:rPr>
          <w:rFonts w:ascii="Arial" w:hAnsi="Arial" w:cs="Arial"/>
        </w:rPr>
        <w:t>7</w:t>
      </w:r>
      <w:r w:rsidRPr="00982C6D">
        <w:rPr>
          <w:rFonts w:ascii="Arial" w:hAnsi="Arial" w:cs="Arial"/>
        </w:rPr>
        <w:t xml:space="preserve"> average port price information).</w:t>
      </w:r>
      <w:r w:rsidR="005F7E3D">
        <w:rPr>
          <w:rStyle w:val="FootnoteReference"/>
          <w:rFonts w:ascii="Arial" w:hAnsi="Arial" w:cs="Arial"/>
        </w:rPr>
        <w:footnoteReference w:id="11"/>
      </w:r>
    </w:p>
    <w:p w14:paraId="3665F2C1" w14:textId="09FEF723" w:rsidR="000B0A46" w:rsidRDefault="0054406D" w:rsidP="00982C6D">
      <w:pPr>
        <w:ind w:left="567" w:hanging="567"/>
        <w:rPr>
          <w:rFonts w:ascii="Arial" w:hAnsi="Arial" w:cs="Arial"/>
        </w:rPr>
      </w:pPr>
      <w:r w:rsidRPr="00390F23">
        <w:rPr>
          <w:noProof/>
          <w:lang w:eastAsia="en-NZ"/>
        </w:rPr>
        <mc:AlternateContent>
          <mc:Choice Requires="wps">
            <w:drawing>
              <wp:anchor distT="45720" distB="45720" distL="114300" distR="114300" simplePos="0" relativeHeight="251661312" behindDoc="0" locked="0" layoutInCell="1" allowOverlap="1" wp14:anchorId="786A0D0F" wp14:editId="6311110E">
                <wp:simplePos x="0" y="0"/>
                <wp:positionH relativeFrom="margin">
                  <wp:align>right</wp:align>
                </wp:positionH>
                <wp:positionV relativeFrom="paragraph">
                  <wp:posOffset>413965</wp:posOffset>
                </wp:positionV>
                <wp:extent cx="5266055" cy="723265"/>
                <wp:effectExtent l="76200" t="76200" r="86995" b="958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723265"/>
                        </a:xfrm>
                        <a:prstGeom prst="roundRect">
                          <a:avLst/>
                        </a:prstGeom>
                        <a:solidFill>
                          <a:srgbClr val="FFFFFF"/>
                        </a:solidFill>
                        <a:ln w="19050">
                          <a:solidFill>
                            <a:srgbClr val="000000"/>
                          </a:solidFill>
                          <a:miter lim="800000"/>
                          <a:headEnd/>
                          <a:tailEnd/>
                        </a:ln>
                        <a:effectLst>
                          <a:glow rad="63500">
                            <a:schemeClr val="tx1">
                              <a:alpha val="40000"/>
                            </a:schemeClr>
                          </a:glow>
                        </a:effectLst>
                      </wps:spPr>
                      <wps:txbx>
                        <w:txbxContent>
                          <w:p w14:paraId="2BAA7062" w14:textId="77777777" w:rsidR="0054406D" w:rsidRPr="00C71340" w:rsidRDefault="0054406D" w:rsidP="0054406D">
                            <w:pPr>
                              <w:spacing w:after="120"/>
                              <w:contextualSpacing w:val="0"/>
                              <w:rPr>
                                <w:rFonts w:ascii="Arial Narrow" w:hAnsi="Arial Narrow"/>
                                <w:b/>
                                <w:szCs w:val="24"/>
                              </w:rPr>
                            </w:pPr>
                            <w:r w:rsidRPr="00C71340">
                              <w:rPr>
                                <w:rFonts w:ascii="Arial Narrow" w:hAnsi="Arial Narrow"/>
                                <w:b/>
                                <w:szCs w:val="24"/>
                                <w:u w:val="single"/>
                              </w:rPr>
                              <w:t>Discussion questions:</w:t>
                            </w:r>
                            <w:r w:rsidRPr="00C71340">
                              <w:rPr>
                                <w:rFonts w:ascii="Arial Narrow" w:hAnsi="Arial Narrow"/>
                                <w:b/>
                                <w:szCs w:val="24"/>
                              </w:rPr>
                              <w:t xml:space="preserve"> </w:t>
                            </w:r>
                          </w:p>
                          <w:p w14:paraId="6382CB71" w14:textId="69CB1467" w:rsidR="0054406D" w:rsidRPr="0054406D" w:rsidRDefault="0054406D" w:rsidP="0054406D">
                            <w:pPr>
                              <w:pStyle w:val="ListParagraph"/>
                              <w:numPr>
                                <w:ilvl w:val="0"/>
                                <w:numId w:val="33"/>
                              </w:numPr>
                              <w:spacing w:after="120" w:line="240" w:lineRule="auto"/>
                              <w:ind w:left="714" w:hanging="357"/>
                              <w:contextualSpacing w:val="0"/>
                              <w:rPr>
                                <w:rFonts w:ascii="Arial Narrow" w:hAnsi="Arial Narrow"/>
                                <w:b/>
                                <w:sz w:val="24"/>
                                <w:szCs w:val="24"/>
                              </w:rPr>
                            </w:pPr>
                            <w:r>
                              <w:rPr>
                                <w:rFonts w:ascii="Arial Narrow" w:hAnsi="Arial Narrow"/>
                                <w:b/>
                                <w:sz w:val="24"/>
                                <w:szCs w:val="24"/>
                              </w:rPr>
                              <w:t>Do you agree that these are the correct options to consider</w:t>
                            </w:r>
                            <w:r w:rsidRPr="00C71340">
                              <w:rPr>
                                <w:rFonts w:ascii="Arial Narrow" w:hAnsi="Arial Narrow"/>
                                <w:b/>
                                <w:sz w:val="24"/>
                                <w:szCs w:val="24"/>
                              </w:rPr>
                              <w:t>?</w:t>
                            </w:r>
                            <w:r>
                              <w:rPr>
                                <w:rFonts w:ascii="Arial Narrow" w:hAnsi="Arial Narrow"/>
                                <w:b/>
                                <w:sz w:val="24"/>
                                <w:szCs w:val="24"/>
                              </w:rPr>
                              <w:t xml:space="preserve"> If not, why not?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86A0D0F" id="Text Box 2" o:spid="_x0000_s1027" style="position:absolute;left:0;text-align:left;margin-left:363.45pt;margin-top:32.6pt;width:414.65pt;height:56.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" strokeweight="1.5pt">
                <v:stroke joinstyle="miter"/>
                <v:textbox>
                  <w:txbxContent>
                    <w:p w14:paraId="2BAA7062" w14:textId="77777777" w:rsidR="0054406D" w:rsidRPr="00C71340" w:rsidRDefault="0054406D" w:rsidP="0054406D">
                      <w:pPr>
                        <w:spacing w:after="120"/>
                        <w:contextualSpacing w:val="0"/>
                        <w:rPr>
                          <w:rFonts w:ascii="Arial Narrow" w:hAnsi="Arial Narrow"/>
                          <w:b/>
                          <w:szCs w:val="24"/>
                        </w:rPr>
                      </w:pPr>
                      <w:r w:rsidRPr="00C71340">
                        <w:rPr>
                          <w:rFonts w:ascii="Arial Narrow" w:hAnsi="Arial Narrow"/>
                          <w:b/>
                          <w:szCs w:val="24"/>
                          <w:u w:val="single"/>
                        </w:rPr>
                        <w:t>Discussion questions:</w:t>
                      </w:r>
                      <w:r w:rsidRPr="00C71340">
                        <w:rPr>
                          <w:rFonts w:ascii="Arial Narrow" w:hAnsi="Arial Narrow"/>
                          <w:b/>
                          <w:szCs w:val="24"/>
                        </w:rPr>
                        <w:t xml:space="preserve"> </w:t>
                      </w:r>
                    </w:p>
                    <w:p w14:paraId="6382CB71" w14:textId="69CB1467" w:rsidR="0054406D" w:rsidRPr="0054406D" w:rsidRDefault="0054406D" w:rsidP="0054406D">
                      <w:pPr>
                        <w:pStyle w:val="ListParagraph"/>
                        <w:numPr>
                          <w:ilvl w:val="0"/>
                          <w:numId w:val="33"/>
                        </w:numPr>
                        <w:spacing w:after="120" w:line="240" w:lineRule="auto"/>
                        <w:ind w:left="714" w:hanging="357"/>
                        <w:contextualSpacing w:val="0"/>
                        <w:rPr>
                          <w:rFonts w:ascii="Arial Narrow" w:hAnsi="Arial Narrow"/>
                          <w:b/>
                          <w:sz w:val="24"/>
                          <w:szCs w:val="24"/>
                        </w:rPr>
                      </w:pPr>
                      <w:r>
                        <w:rPr>
                          <w:rFonts w:ascii="Arial Narrow" w:hAnsi="Arial Narrow"/>
                          <w:b/>
                          <w:sz w:val="24"/>
                          <w:szCs w:val="24"/>
                        </w:rPr>
                        <w:t>Do you agree that these are the correct options to consider</w:t>
                      </w:r>
                      <w:r w:rsidRPr="00C71340">
                        <w:rPr>
                          <w:rFonts w:ascii="Arial Narrow" w:hAnsi="Arial Narrow"/>
                          <w:b/>
                          <w:sz w:val="24"/>
                          <w:szCs w:val="24"/>
                        </w:rPr>
                        <w:t>?</w:t>
                      </w:r>
                      <w:r>
                        <w:rPr>
                          <w:rFonts w:ascii="Arial Narrow" w:hAnsi="Arial Narrow"/>
                          <w:b/>
                          <w:sz w:val="24"/>
                          <w:szCs w:val="24"/>
                        </w:rPr>
                        <w:t xml:space="preserve"> If not, why not?</w:t>
                      </w:r>
                    </w:p>
                  </w:txbxContent>
                </v:textbox>
                <w10:wrap type="square" anchorx="margin"/>
              </v:roundrect>
            </w:pict>
          </mc:Fallback>
        </mc:AlternateContent>
      </w:r>
    </w:p>
    <w:p w14:paraId="6804A59A" w14:textId="68819BBC" w:rsidR="004E2FCA" w:rsidRDefault="004E2FCA" w:rsidP="00982C6D">
      <w:pPr>
        <w:ind w:left="567" w:hanging="567"/>
        <w:rPr>
          <w:rFonts w:ascii="Arial" w:hAnsi="Arial" w:cs="Arial"/>
        </w:rPr>
      </w:pPr>
    </w:p>
    <w:p w14:paraId="7E598A27" w14:textId="47D20FAA" w:rsidR="0054406D" w:rsidRDefault="0054406D" w:rsidP="00982C6D">
      <w:pPr>
        <w:ind w:left="567" w:hanging="567"/>
        <w:rPr>
          <w:rFonts w:ascii="Arial" w:hAnsi="Arial" w:cs="Arial"/>
        </w:rPr>
      </w:pPr>
    </w:p>
    <w:p w14:paraId="2C77C87D" w14:textId="7FB54489" w:rsidR="004E2FCA" w:rsidRDefault="004E2FCA" w:rsidP="00982C6D">
      <w:pPr>
        <w:ind w:left="567" w:hanging="567"/>
        <w:rPr>
          <w:rFonts w:ascii="Arial" w:hAnsi="Arial" w:cs="Arial"/>
        </w:rPr>
      </w:pPr>
    </w:p>
    <w:p w14:paraId="0F5D5A79" w14:textId="45F4F86A" w:rsidR="002F42FC" w:rsidRPr="00982C6D" w:rsidRDefault="002F42FC" w:rsidP="00982C6D">
      <w:pPr>
        <w:ind w:left="567" w:hanging="567"/>
        <w:rPr>
          <w:rFonts w:ascii="Arial" w:hAnsi="Arial" w:cs="Arial"/>
        </w:rPr>
      </w:pPr>
    </w:p>
    <w:p w14:paraId="346B7BBC" w14:textId="77777777" w:rsidR="0054406D" w:rsidRDefault="0054406D">
      <w:pPr>
        <w:spacing w:after="160" w:line="259" w:lineRule="auto"/>
        <w:contextualSpacing w:val="0"/>
        <w:rPr>
          <w:rFonts w:ascii="Arial Narrow" w:hAnsi="Arial Narrow"/>
          <w:b/>
          <w:kern w:val="28"/>
          <w:sz w:val="36"/>
        </w:rPr>
      </w:pPr>
      <w:bookmarkStart w:id="66" w:name="_Toc469576740"/>
      <w:bookmarkStart w:id="67" w:name="_Toc500855031"/>
      <w:bookmarkStart w:id="68" w:name="_Toc501013883"/>
      <w:bookmarkStart w:id="69" w:name="_Toc501526382"/>
      <w:bookmarkStart w:id="70" w:name="_Toc501698630"/>
      <w:bookmarkStart w:id="71" w:name="_Toc503362777"/>
      <w:bookmarkStart w:id="72" w:name="_Toc531692794"/>
      <w:bookmarkStart w:id="73" w:name="_Toc532471889"/>
      <w:r>
        <w:br w:type="page"/>
      </w:r>
    </w:p>
    <w:p w14:paraId="1E84CC53" w14:textId="78D592BE" w:rsidR="00943466" w:rsidRPr="00495960" w:rsidRDefault="00943466" w:rsidP="00B3771B">
      <w:pPr>
        <w:pStyle w:val="Heading1"/>
        <w:numPr>
          <w:ilvl w:val="0"/>
          <w:numId w:val="4"/>
        </w:numPr>
        <w:ind w:left="567" w:hanging="567"/>
      </w:pPr>
      <w:r>
        <w:lastRenderedPageBreak/>
        <w:t>Review of the CRA 4 (Hawke’s Bay</w:t>
      </w:r>
      <w:r w:rsidR="00161801">
        <w:t>/Wellington</w:t>
      </w:r>
      <w:r>
        <w:t>) Rock</w:t>
      </w:r>
      <w:r>
        <w:br/>
        <w:t>Lobster Fishery</w:t>
      </w:r>
      <w:bookmarkEnd w:id="66"/>
      <w:bookmarkEnd w:id="67"/>
      <w:bookmarkEnd w:id="68"/>
      <w:bookmarkEnd w:id="69"/>
      <w:bookmarkEnd w:id="70"/>
      <w:bookmarkEnd w:id="71"/>
      <w:bookmarkEnd w:id="72"/>
      <w:bookmarkEnd w:id="73"/>
    </w:p>
    <w:p w14:paraId="5CC6C7DC" w14:textId="60D3E1A8" w:rsidR="008E7BB4" w:rsidRDefault="008E7BB4" w:rsidP="00B3771B">
      <w:pPr>
        <w:pStyle w:val="Heading2"/>
        <w:spacing w:after="60"/>
      </w:pPr>
      <w:bookmarkStart w:id="74" w:name="_Toc532471890"/>
      <w:bookmarkStart w:id="75" w:name="_Toc469576741"/>
      <w:bookmarkStart w:id="76" w:name="_Toc500855032"/>
      <w:bookmarkStart w:id="77" w:name="_Toc501013884"/>
      <w:bookmarkStart w:id="78" w:name="_Toc501526383"/>
      <w:bookmarkStart w:id="79" w:name="_Toc501698631"/>
      <w:bookmarkStart w:id="80" w:name="_Toc503362778"/>
      <w:bookmarkStart w:id="81" w:name="_Toc531692795"/>
      <w:r>
        <w:t>Fishery Overview</w:t>
      </w:r>
      <w:bookmarkEnd w:id="74"/>
    </w:p>
    <w:p w14:paraId="126A03FF" w14:textId="3A9BAF68" w:rsidR="008E7BB4" w:rsidRPr="008E7BB4" w:rsidRDefault="008E7BB4" w:rsidP="008E7BB4">
      <w:pPr>
        <w:spacing w:before="240" w:after="60"/>
        <w:contextualSpacing w:val="0"/>
        <w:rPr>
          <w:rFonts w:ascii="Arial Narrow" w:hAnsi="Arial Narrow"/>
          <w:b/>
        </w:rPr>
      </w:pPr>
      <w:r w:rsidRPr="008E7BB4">
        <w:rPr>
          <w:rFonts w:ascii="Arial Narrow" w:hAnsi="Arial Narrow"/>
          <w:b/>
        </w:rPr>
        <w:t>Māori customary fishing</w:t>
      </w:r>
    </w:p>
    <w:p w14:paraId="49D02401" w14:textId="33DE403F" w:rsidR="004E2FCA" w:rsidRPr="004E2FCA" w:rsidRDefault="008E7BB4" w:rsidP="004E2FCA">
      <w:pPr>
        <w:pStyle w:val="ListParagraph"/>
        <w:numPr>
          <w:ilvl w:val="0"/>
          <w:numId w:val="26"/>
        </w:numPr>
        <w:spacing w:after="0" w:line="240" w:lineRule="auto"/>
        <w:ind w:left="567" w:hanging="567"/>
        <w:jc w:val="left"/>
        <w:rPr>
          <w:rFonts w:ascii="Arial" w:hAnsi="Arial" w:cs="Arial"/>
          <w:szCs w:val="20"/>
        </w:rPr>
      </w:pPr>
      <w:r w:rsidRPr="00982C6D">
        <w:rPr>
          <w:rFonts w:ascii="Arial" w:hAnsi="Arial" w:cs="Arial"/>
          <w:szCs w:val="20"/>
        </w:rPr>
        <w:t xml:space="preserve">Rock lobster (koura) is a taonga species for tangata whenua. Information on Māori customary catch of rock lobster indicates that tangata whenua use of customary Māori harvesting rights for taking rock lobster is minimal and was well within the current customary Māori allowance for CRA 4 of 35 tonnes. </w:t>
      </w:r>
      <w:r>
        <w:rPr>
          <w:rFonts w:ascii="Arial" w:hAnsi="Arial" w:cs="Arial"/>
          <w:szCs w:val="20"/>
        </w:rPr>
        <w:t xml:space="preserve">In the 2017 </w:t>
      </w:r>
      <w:r w:rsidRPr="00887A9E">
        <w:rPr>
          <w:rFonts w:ascii="Arial" w:hAnsi="Arial" w:cs="Arial"/>
        </w:rPr>
        <w:t>cal</w:t>
      </w:r>
      <w:r>
        <w:rPr>
          <w:rFonts w:ascii="Arial" w:hAnsi="Arial" w:cs="Arial"/>
        </w:rPr>
        <w:t>endar year, approximately 43</w:t>
      </w:r>
      <w:r w:rsidRPr="00887A9E">
        <w:rPr>
          <w:rFonts w:ascii="Arial" w:hAnsi="Arial" w:cs="Arial"/>
        </w:rPr>
        <w:t xml:space="preserve">0 rock lobsters were </w:t>
      </w:r>
      <w:r>
        <w:rPr>
          <w:rFonts w:ascii="Arial" w:hAnsi="Arial" w:cs="Arial"/>
        </w:rPr>
        <w:t>reported as harvested from CRA 4</w:t>
      </w:r>
      <w:r w:rsidRPr="00887A9E">
        <w:rPr>
          <w:rFonts w:ascii="Arial" w:hAnsi="Arial" w:cs="Arial"/>
        </w:rPr>
        <w:t xml:space="preserve">. </w:t>
      </w:r>
      <w:r w:rsidR="004E2FCA" w:rsidRPr="005278EE">
        <w:rPr>
          <w:rFonts w:ascii="Arial" w:hAnsi="Arial" w:cs="Arial"/>
        </w:rPr>
        <w:t>This information is considered incomplete</w:t>
      </w:r>
      <w:r w:rsidR="004E2FCA">
        <w:rPr>
          <w:rFonts w:ascii="Arial" w:hAnsi="Arial" w:cs="Arial"/>
        </w:rPr>
        <w:t>,</w:t>
      </w:r>
      <w:r w:rsidR="004E2FCA" w:rsidRPr="005278EE">
        <w:rPr>
          <w:rFonts w:ascii="Arial" w:hAnsi="Arial" w:cs="Arial"/>
        </w:rPr>
        <w:t xml:space="preserve"> because customary take of rock lobster that occurs under </w:t>
      </w:r>
      <w:r w:rsidR="004E2FCA">
        <w:rPr>
          <w:rFonts w:ascii="Arial" w:hAnsi="Arial" w:cs="Arial"/>
        </w:rPr>
        <w:t xml:space="preserve">the </w:t>
      </w:r>
      <w:r w:rsidR="004E2FCA" w:rsidRPr="005278EE">
        <w:rPr>
          <w:rFonts w:ascii="Arial" w:hAnsi="Arial" w:cs="Arial"/>
        </w:rPr>
        <w:t>Amateur Regulations for the purposes of hui and tangi is not required to be reported.</w:t>
      </w:r>
    </w:p>
    <w:p w14:paraId="6AE02452" w14:textId="77777777" w:rsidR="004E2FCA" w:rsidRPr="004E2FCA" w:rsidRDefault="004E2FCA" w:rsidP="004E2FCA">
      <w:pPr>
        <w:pStyle w:val="ListParagraph"/>
        <w:spacing w:after="0" w:line="240" w:lineRule="auto"/>
        <w:ind w:left="567"/>
        <w:jc w:val="left"/>
        <w:rPr>
          <w:rFonts w:ascii="Arial" w:hAnsi="Arial" w:cs="Arial"/>
          <w:szCs w:val="20"/>
        </w:rPr>
      </w:pPr>
    </w:p>
    <w:p w14:paraId="334E65E6" w14:textId="5102274F" w:rsidR="008E7BB4" w:rsidRDefault="008E7BB4" w:rsidP="004E2FCA">
      <w:pPr>
        <w:pStyle w:val="ListParagraph"/>
        <w:numPr>
          <w:ilvl w:val="0"/>
          <w:numId w:val="26"/>
        </w:numPr>
        <w:spacing w:after="0" w:line="240" w:lineRule="auto"/>
        <w:ind w:left="567" w:hanging="567"/>
        <w:jc w:val="left"/>
        <w:rPr>
          <w:rFonts w:ascii="Arial" w:hAnsi="Arial" w:cs="Arial"/>
          <w:szCs w:val="20"/>
        </w:rPr>
      </w:pPr>
      <w:r w:rsidRPr="008E7BB4">
        <w:rPr>
          <w:rFonts w:ascii="Arial" w:hAnsi="Arial" w:cs="Arial"/>
          <w:szCs w:val="20"/>
        </w:rPr>
        <w:t>An estimate of 20 tonnes was used in the 2016 CRA 4 stock assessment model to represent customary catches.</w:t>
      </w:r>
    </w:p>
    <w:p w14:paraId="40325F44" w14:textId="79E08610" w:rsidR="008E7BB4" w:rsidRPr="008E7BB4" w:rsidRDefault="008E42C9" w:rsidP="008E7BB4">
      <w:pPr>
        <w:spacing w:before="240" w:after="60"/>
        <w:contextualSpacing w:val="0"/>
        <w:rPr>
          <w:rFonts w:ascii="Arial Narrow" w:hAnsi="Arial Narrow"/>
          <w:b/>
        </w:rPr>
      </w:pPr>
      <w:r>
        <w:rPr>
          <w:rFonts w:ascii="Arial Narrow" w:hAnsi="Arial Narrow"/>
          <w:b/>
        </w:rPr>
        <w:t>Recreational</w:t>
      </w:r>
      <w:r w:rsidR="008E7BB4" w:rsidRPr="008E7BB4">
        <w:rPr>
          <w:rFonts w:ascii="Arial Narrow" w:hAnsi="Arial Narrow"/>
          <w:b/>
        </w:rPr>
        <w:t xml:space="preserve"> fishing</w:t>
      </w:r>
    </w:p>
    <w:p w14:paraId="0FC51B0B" w14:textId="77777777" w:rsidR="004E2FCA" w:rsidRDefault="008E42C9" w:rsidP="004E2FCA">
      <w:pPr>
        <w:pStyle w:val="ListParagraph"/>
        <w:numPr>
          <w:ilvl w:val="0"/>
          <w:numId w:val="26"/>
        </w:numPr>
        <w:spacing w:after="0" w:line="240" w:lineRule="auto"/>
        <w:ind w:left="567" w:hanging="567"/>
        <w:jc w:val="left"/>
        <w:rPr>
          <w:rFonts w:ascii="Arial" w:hAnsi="Arial" w:cs="Arial"/>
          <w:szCs w:val="20"/>
        </w:rPr>
      </w:pPr>
      <w:r w:rsidRPr="00D72863">
        <w:rPr>
          <w:rFonts w:ascii="Arial" w:hAnsi="Arial" w:cs="Arial"/>
          <w:szCs w:val="20"/>
        </w:rPr>
        <w:t>The CRA 4 rock lobster fishery supports a valuable recreational fishery in Hawke’s Bay, the Wairarapa Coast, through Cook Strait to the lower West Coast of the North Island.</w:t>
      </w:r>
    </w:p>
    <w:p w14:paraId="1A930EC6" w14:textId="77777777" w:rsidR="004E2FCA" w:rsidRDefault="004E2FCA" w:rsidP="004E2FCA">
      <w:pPr>
        <w:pStyle w:val="ListParagraph"/>
        <w:spacing w:after="0" w:line="240" w:lineRule="auto"/>
        <w:ind w:left="567"/>
        <w:jc w:val="left"/>
        <w:rPr>
          <w:rFonts w:ascii="Arial" w:hAnsi="Arial" w:cs="Arial"/>
          <w:szCs w:val="20"/>
        </w:rPr>
      </w:pPr>
    </w:p>
    <w:p w14:paraId="70537E6F" w14:textId="2F016637" w:rsidR="004E2FCA" w:rsidRPr="004E2FCA" w:rsidRDefault="004E2FCA" w:rsidP="004E2FCA">
      <w:pPr>
        <w:pStyle w:val="ListParagraph"/>
        <w:numPr>
          <w:ilvl w:val="0"/>
          <w:numId w:val="26"/>
        </w:numPr>
        <w:spacing w:after="0" w:line="240" w:lineRule="auto"/>
        <w:ind w:left="567" w:hanging="567"/>
        <w:jc w:val="left"/>
        <w:rPr>
          <w:rFonts w:ascii="Arial" w:hAnsi="Arial" w:cs="Arial"/>
          <w:szCs w:val="20"/>
        </w:rPr>
      </w:pPr>
      <w:r w:rsidRPr="004E2FCA">
        <w:rPr>
          <w:rFonts w:ascii="Arial" w:hAnsi="Arial" w:cs="Arial"/>
          <w:szCs w:val="20"/>
        </w:rPr>
        <w:t>Recreational fishers are not required to report the quantities of rock lobsters they catch</w:t>
      </w:r>
      <w:r>
        <w:rPr>
          <w:rFonts w:ascii="Arial" w:hAnsi="Arial" w:cs="Arial"/>
          <w:szCs w:val="20"/>
        </w:rPr>
        <w:t xml:space="preserve">. </w:t>
      </w:r>
      <w:r w:rsidR="008E42C9" w:rsidRPr="004E2FCA">
        <w:rPr>
          <w:rFonts w:ascii="Arial" w:hAnsi="Arial" w:cs="Arial"/>
          <w:szCs w:val="20"/>
        </w:rPr>
        <w:t>For the 2016 CRA 4 stock assessment, recreational catch estimates from 1994, 1996 and 2011 recreational surveys were used to construct a recreational catch trajectory (Fig</w:t>
      </w:r>
      <w:r w:rsidR="00275D41">
        <w:rPr>
          <w:rFonts w:ascii="Arial" w:hAnsi="Arial" w:cs="Arial"/>
          <w:szCs w:val="20"/>
        </w:rPr>
        <w:t xml:space="preserve">ure 6). The trajectory was </w:t>
      </w:r>
      <w:r w:rsidR="008E42C9" w:rsidRPr="004E2FCA">
        <w:rPr>
          <w:rFonts w:ascii="Arial" w:hAnsi="Arial" w:cs="Arial"/>
          <w:szCs w:val="20"/>
        </w:rPr>
        <w:t>developed by assuming that recreational catch was proportional to the CRA 4 spring-summer abundance, as reflected by spring-summer commercial CPUE for CRA 4.</w:t>
      </w:r>
    </w:p>
    <w:p w14:paraId="3281F4FF" w14:textId="77777777" w:rsidR="004E2FCA" w:rsidRPr="004E2FCA" w:rsidRDefault="004E2FCA" w:rsidP="004E2FCA">
      <w:pPr>
        <w:pStyle w:val="ListParagraph"/>
        <w:spacing w:line="240" w:lineRule="auto"/>
        <w:rPr>
          <w:rFonts w:ascii="Arial" w:hAnsi="Arial" w:cs="Arial"/>
          <w:szCs w:val="20"/>
        </w:rPr>
      </w:pPr>
    </w:p>
    <w:p w14:paraId="58F21A3A" w14:textId="274CFE03" w:rsidR="008E42C9" w:rsidRPr="00D72863" w:rsidRDefault="008E42C9" w:rsidP="004E2FCA">
      <w:pPr>
        <w:pStyle w:val="ListParagraph"/>
        <w:numPr>
          <w:ilvl w:val="0"/>
          <w:numId w:val="26"/>
        </w:numPr>
        <w:spacing w:after="0" w:line="240" w:lineRule="auto"/>
        <w:ind w:left="567" w:hanging="567"/>
        <w:jc w:val="left"/>
        <w:rPr>
          <w:rFonts w:ascii="Arial" w:hAnsi="Arial" w:cs="Arial"/>
          <w:szCs w:val="20"/>
        </w:rPr>
      </w:pPr>
      <w:r w:rsidRPr="00D72863">
        <w:rPr>
          <w:rFonts w:ascii="Arial" w:hAnsi="Arial" w:cs="Arial"/>
          <w:szCs w:val="20"/>
        </w:rPr>
        <w:t xml:space="preserve">The resulting recreational catch trajectory showed a strong increasing trend up to the end of 1990s, followed by a steep drop to 2007, which recovered by 2013 before dropping again from 2014. </w:t>
      </w:r>
    </w:p>
    <w:p w14:paraId="5AE4FA83" w14:textId="77777777" w:rsidR="008E42C9" w:rsidRPr="00982C6D" w:rsidRDefault="008E42C9" w:rsidP="004E2FCA">
      <w:pPr>
        <w:ind w:left="567" w:hanging="567"/>
        <w:rPr>
          <w:rFonts w:ascii="Arial" w:hAnsi="Arial" w:cs="Arial"/>
          <w:sz w:val="22"/>
          <w:szCs w:val="24"/>
        </w:rPr>
      </w:pPr>
    </w:p>
    <w:p w14:paraId="0CD2EA41" w14:textId="12AC59C3" w:rsidR="00756AD5" w:rsidRPr="0055420B" w:rsidRDefault="008E42C9" w:rsidP="004E2FCA">
      <w:pPr>
        <w:pStyle w:val="ListParagraph"/>
        <w:numPr>
          <w:ilvl w:val="0"/>
          <w:numId w:val="26"/>
        </w:numPr>
        <w:spacing w:after="120" w:line="240" w:lineRule="auto"/>
        <w:ind w:left="567" w:hanging="567"/>
        <w:contextualSpacing w:val="0"/>
        <w:jc w:val="left"/>
        <w:rPr>
          <w:rFonts w:ascii="Arial" w:hAnsi="Arial" w:cs="Arial"/>
          <w:szCs w:val="24"/>
        </w:rPr>
      </w:pPr>
      <w:r w:rsidRPr="0055420B">
        <w:rPr>
          <w:rFonts w:ascii="Arial" w:hAnsi="Arial" w:cs="Arial"/>
          <w:szCs w:val="24"/>
        </w:rPr>
        <w:t>The 2011 recreational catch estimate comes from the 2011/12 National Panel survey, which estimated that the recreational catch of rock lobsters in CRA 4 was 44.17 tonne</w:t>
      </w:r>
      <w:r w:rsidRPr="00982C6D">
        <w:rPr>
          <w:rFonts w:ascii="Arial" w:hAnsi="Arial" w:cs="Arial"/>
          <w:szCs w:val="24"/>
        </w:rPr>
        <w:t>s</w:t>
      </w:r>
      <w:r w:rsidRPr="0055420B">
        <w:rPr>
          <w:rStyle w:val="FootnoteReference"/>
          <w:rFonts w:ascii="Arial" w:eastAsiaTheme="majorEastAsia" w:hAnsi="Arial" w:cs="Arial"/>
          <w:szCs w:val="24"/>
        </w:rPr>
        <w:footnoteReference w:id="12"/>
      </w:r>
      <w:r w:rsidRPr="0055420B">
        <w:rPr>
          <w:rFonts w:ascii="Arial" w:hAnsi="Arial" w:cs="Arial"/>
          <w:szCs w:val="24"/>
        </w:rPr>
        <w:t>.</w:t>
      </w:r>
      <w:r w:rsidRPr="00982C6D">
        <w:rPr>
          <w:rFonts w:ascii="Arial" w:hAnsi="Arial" w:cs="Arial"/>
          <w:szCs w:val="24"/>
        </w:rPr>
        <w:t xml:space="preserve"> </w:t>
      </w:r>
    </w:p>
    <w:p w14:paraId="7FD359C1" w14:textId="77777777" w:rsidR="0055420B" w:rsidRDefault="0055420B" w:rsidP="0055420B">
      <w:pPr>
        <w:keepNext/>
        <w:rPr>
          <w:rFonts w:ascii="Times New Roman" w:hAnsi="Times New Roman"/>
        </w:rPr>
      </w:pPr>
      <w:r>
        <w:rPr>
          <w:noProof/>
          <w:lang w:eastAsia="en-NZ"/>
        </w:rPr>
        <w:lastRenderedPageBreak/>
        <w:drawing>
          <wp:inline distT="0" distB="0" distL="0" distR="0" wp14:anchorId="7CB16CCF" wp14:editId="3DA84CDE">
            <wp:extent cx="5619750" cy="3429000"/>
            <wp:effectExtent l="0" t="0" r="0" b="0"/>
            <wp:docPr id="8" name="Picture 8" descr="reccetrajectory_base1_QM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cetrajectory_base1_QMA4"/>
                    <pic:cNvPicPr>
                      <a:picLocks noChangeAspect="1" noChangeArrowheads="1"/>
                    </pic:cNvPicPr>
                  </pic:nvPicPr>
                  <pic:blipFill rotWithShape="1">
                    <a:blip r:embed="rId30">
                      <a:extLst>
                        <a:ext uri="{28A0092B-C50C-407E-A947-70E740481C1C}">
                          <a14:useLocalDpi xmlns:a14="http://schemas.microsoft.com/office/drawing/2010/main" val="0"/>
                        </a:ext>
                      </a:extLst>
                    </a:blip>
                    <a:srcRect t="8728" b="7244"/>
                    <a:stretch/>
                  </pic:blipFill>
                  <pic:spPr bwMode="auto">
                    <a:xfrm>
                      <a:off x="0" y="0"/>
                      <a:ext cx="561975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6A2731E1" w14:textId="69925D55" w:rsidR="0055420B" w:rsidRPr="00853D93" w:rsidRDefault="0055420B" w:rsidP="004E2FCA">
      <w:pPr>
        <w:keepNext/>
        <w:spacing w:before="120"/>
        <w:contextualSpacing w:val="0"/>
        <w:rPr>
          <w:rFonts w:ascii="Arial Narrow" w:hAnsi="Arial Narrow"/>
          <w:b/>
          <w:sz w:val="22"/>
        </w:rPr>
      </w:pPr>
      <w:r w:rsidRPr="00C032FB">
        <w:rPr>
          <w:rFonts w:ascii="Arial Narrow" w:hAnsi="Arial Narrow"/>
          <w:b/>
          <w:sz w:val="22"/>
        </w:rPr>
        <w:t xml:space="preserve">Figure </w:t>
      </w:r>
      <w:r>
        <w:rPr>
          <w:rFonts w:ascii="Arial Narrow" w:hAnsi="Arial Narrow"/>
          <w:b/>
          <w:sz w:val="22"/>
        </w:rPr>
        <w:t>6</w:t>
      </w:r>
      <w:r w:rsidRPr="00F1422F">
        <w:rPr>
          <w:rFonts w:ascii="Arial Narrow" w:hAnsi="Arial Narrow"/>
          <w:b/>
          <w:sz w:val="22"/>
        </w:rPr>
        <w:t xml:space="preserve">: The predicted recreational catch trajectories (tonnes) for the 2016 CRA 4 stock assessment. The red dots </w:t>
      </w:r>
      <w:r w:rsidRPr="00E1727C">
        <w:rPr>
          <w:rFonts w:ascii="Arial Narrow" w:hAnsi="Arial Narrow"/>
          <w:b/>
          <w:sz w:val="22"/>
        </w:rPr>
        <w:t>are</w:t>
      </w:r>
      <w:r w:rsidRPr="000E51AE">
        <w:rPr>
          <w:rFonts w:ascii="Arial Narrow" w:hAnsi="Arial Narrow"/>
          <w:b/>
          <w:sz w:val="22"/>
        </w:rPr>
        <w:t xml:space="preserve"> the</w:t>
      </w:r>
      <w:r w:rsidRPr="00F1422F">
        <w:rPr>
          <w:rFonts w:ascii="Arial Narrow" w:hAnsi="Arial Narrow"/>
          <w:b/>
          <w:sz w:val="22"/>
        </w:rPr>
        <w:t xml:space="preserve"> recreational survey estimates from 1994, 1996 and 2011</w:t>
      </w:r>
      <w:r w:rsidRPr="00E1727C">
        <w:rPr>
          <w:rFonts w:ascii="Arial Narrow" w:hAnsi="Arial Narrow"/>
          <w:b/>
          <w:sz w:val="22"/>
        </w:rPr>
        <w:t xml:space="preserve">, the </w:t>
      </w:r>
      <w:r w:rsidRPr="000E51AE">
        <w:rPr>
          <w:rFonts w:ascii="Arial Narrow" w:hAnsi="Arial Narrow"/>
          <w:b/>
          <w:sz w:val="22"/>
        </w:rPr>
        <w:t>sol</w:t>
      </w:r>
      <w:r w:rsidRPr="00F1422F">
        <w:rPr>
          <w:rFonts w:ascii="Arial Narrow" w:hAnsi="Arial Narrow"/>
          <w:b/>
          <w:sz w:val="22"/>
        </w:rPr>
        <w:t xml:space="preserve">id black line </w:t>
      </w:r>
      <w:r w:rsidRPr="00853D93">
        <w:rPr>
          <w:rFonts w:ascii="Arial Narrow" w:hAnsi="Arial Narrow"/>
          <w:b/>
          <w:sz w:val="22"/>
        </w:rPr>
        <w:t xml:space="preserve">is the recreational catch trajectory </w:t>
      </w:r>
      <w:r w:rsidRPr="00E1727C">
        <w:rPr>
          <w:rFonts w:ascii="Arial Narrow" w:hAnsi="Arial Narrow"/>
          <w:b/>
          <w:sz w:val="22"/>
        </w:rPr>
        <w:t>including</w:t>
      </w:r>
      <w:r w:rsidRPr="000E51AE">
        <w:rPr>
          <w:rFonts w:ascii="Arial Narrow" w:hAnsi="Arial Narrow"/>
          <w:b/>
          <w:sz w:val="22"/>
        </w:rPr>
        <w:t xml:space="preserve"> section 111 catches</w:t>
      </w:r>
      <w:r w:rsidR="000E6DD8" w:rsidRPr="00853D93">
        <w:rPr>
          <w:rStyle w:val="FootnoteReference"/>
          <w:rFonts w:ascii="Arial Narrow" w:hAnsi="Arial Narrow"/>
          <w:b/>
          <w:sz w:val="22"/>
        </w:rPr>
        <w:footnoteReference w:id="13"/>
      </w:r>
      <w:r w:rsidRPr="00E1727C">
        <w:rPr>
          <w:rFonts w:ascii="Arial Narrow" w:hAnsi="Arial Narrow"/>
          <w:b/>
          <w:sz w:val="22"/>
        </w:rPr>
        <w:t>,</w:t>
      </w:r>
      <w:r w:rsidRPr="000E51AE">
        <w:rPr>
          <w:rFonts w:ascii="Arial Narrow" w:hAnsi="Arial Narrow"/>
          <w:b/>
          <w:sz w:val="22"/>
        </w:rPr>
        <w:t xml:space="preserve"> and </w:t>
      </w:r>
      <w:r w:rsidRPr="00E1727C">
        <w:rPr>
          <w:rFonts w:ascii="Arial Narrow" w:hAnsi="Arial Narrow"/>
          <w:b/>
          <w:sz w:val="22"/>
        </w:rPr>
        <w:t>the</w:t>
      </w:r>
      <w:r w:rsidRPr="000E51AE">
        <w:rPr>
          <w:rFonts w:ascii="Arial Narrow" w:hAnsi="Arial Narrow"/>
          <w:b/>
          <w:sz w:val="22"/>
        </w:rPr>
        <w:t xml:space="preserve"> dashed black line is the recreational catch trajectory without section 111 catches.</w:t>
      </w:r>
    </w:p>
    <w:p w14:paraId="1AF8521F" w14:textId="77777777" w:rsidR="0055420B" w:rsidRPr="0055420B" w:rsidRDefault="0055420B" w:rsidP="0055420B">
      <w:pPr>
        <w:rPr>
          <w:rFonts w:ascii="Arial" w:hAnsi="Arial" w:cs="Arial"/>
          <w:szCs w:val="24"/>
        </w:rPr>
      </w:pPr>
    </w:p>
    <w:p w14:paraId="6ACE22A1" w14:textId="1CC4297F" w:rsidR="008E42C9" w:rsidRPr="008E7BB4" w:rsidRDefault="008E42C9" w:rsidP="008E42C9">
      <w:pPr>
        <w:spacing w:before="240" w:after="60"/>
        <w:contextualSpacing w:val="0"/>
        <w:rPr>
          <w:rFonts w:ascii="Arial Narrow" w:hAnsi="Arial Narrow"/>
          <w:b/>
        </w:rPr>
      </w:pPr>
      <w:r>
        <w:rPr>
          <w:rFonts w:ascii="Arial Narrow" w:hAnsi="Arial Narrow"/>
          <w:b/>
        </w:rPr>
        <w:t>Other mortality</w:t>
      </w:r>
    </w:p>
    <w:p w14:paraId="001B93C6" w14:textId="53B6FA32" w:rsidR="003C1C4A" w:rsidRDefault="008E42C9" w:rsidP="003C1C4A">
      <w:pPr>
        <w:pStyle w:val="ListParagraph"/>
        <w:numPr>
          <w:ilvl w:val="0"/>
          <w:numId w:val="26"/>
        </w:numPr>
        <w:spacing w:after="0" w:line="240" w:lineRule="auto"/>
        <w:ind w:left="567" w:hanging="567"/>
        <w:jc w:val="left"/>
        <w:rPr>
          <w:rFonts w:ascii="Arial" w:hAnsi="Arial" w:cs="Arial"/>
          <w:szCs w:val="20"/>
        </w:rPr>
      </w:pPr>
      <w:r w:rsidRPr="00982C6D">
        <w:rPr>
          <w:rFonts w:ascii="Arial" w:hAnsi="Arial" w:cs="Arial"/>
          <w:szCs w:val="20"/>
        </w:rPr>
        <w:t xml:space="preserve">There are various potential other sources of mortality caused by fishing, such as illegal catch and handling mortality. It is difficult for Fisheries New Zealand to get an accurate estimate of illegal catch given that illegal activity is not easily detected. However, the Rock Lobster Fisheries Assessment Working Group used available Ministry for Primary Industries estimates from 1990 to 2004 in the 2016 stock </w:t>
      </w:r>
      <w:r w:rsidRPr="00435A41">
        <w:rPr>
          <w:rFonts w:ascii="Arial" w:hAnsi="Arial" w:cs="Arial"/>
          <w:szCs w:val="20"/>
        </w:rPr>
        <w:t>as</w:t>
      </w:r>
      <w:r w:rsidRPr="002B71FA">
        <w:rPr>
          <w:rFonts w:ascii="Arial" w:hAnsi="Arial" w:cs="Arial"/>
          <w:szCs w:val="20"/>
        </w:rPr>
        <w:t xml:space="preserve">sessment model to estimate illegal catches. </w:t>
      </w:r>
      <w:r w:rsidRPr="008E42C9">
        <w:rPr>
          <w:rFonts w:ascii="Arial" w:hAnsi="Arial" w:cs="Arial"/>
          <w:szCs w:val="20"/>
        </w:rPr>
        <w:t>For the 2015/16 fishing year, while uncertain, the illegal catch estimate assum</w:t>
      </w:r>
      <w:r>
        <w:rPr>
          <w:rFonts w:ascii="Arial" w:hAnsi="Arial" w:cs="Arial"/>
          <w:szCs w:val="20"/>
        </w:rPr>
        <w:t>ed for the model was 40 tonnes.</w:t>
      </w:r>
    </w:p>
    <w:p w14:paraId="30C6BFC0" w14:textId="77777777" w:rsidR="006B4070" w:rsidRPr="003C1C4A" w:rsidRDefault="006B4070" w:rsidP="006B4070">
      <w:pPr>
        <w:pStyle w:val="ListParagraph"/>
        <w:spacing w:after="0" w:line="240" w:lineRule="auto"/>
        <w:ind w:left="567"/>
        <w:jc w:val="left"/>
        <w:rPr>
          <w:rFonts w:ascii="Arial" w:hAnsi="Arial" w:cs="Arial"/>
          <w:szCs w:val="20"/>
        </w:rPr>
      </w:pPr>
    </w:p>
    <w:p w14:paraId="75378834" w14:textId="5B21100B" w:rsidR="008E42C9" w:rsidRPr="0055420B" w:rsidRDefault="008E42C9" w:rsidP="0095021F">
      <w:pPr>
        <w:pStyle w:val="ListParagraph"/>
        <w:numPr>
          <w:ilvl w:val="0"/>
          <w:numId w:val="26"/>
        </w:numPr>
        <w:spacing w:after="0" w:line="240" w:lineRule="auto"/>
        <w:ind w:left="567" w:hanging="567"/>
        <w:jc w:val="left"/>
        <w:rPr>
          <w:rFonts w:ascii="Arial" w:hAnsi="Arial" w:cs="Arial"/>
          <w:szCs w:val="20"/>
        </w:rPr>
      </w:pPr>
      <w:r w:rsidRPr="008E42C9">
        <w:rPr>
          <w:rFonts w:ascii="Arial" w:hAnsi="Arial" w:cs="Arial"/>
          <w:szCs w:val="20"/>
        </w:rPr>
        <w:t>The 2016 CRA 4 assessment also assumed that handling mortality was 10% of returned lobsters until 1990 and then 5% thereafter. The 2016 model estimate of handling mortality was 18.14 tonnes.</w:t>
      </w:r>
    </w:p>
    <w:p w14:paraId="1D080DA2" w14:textId="33F3F36B" w:rsidR="008E42C9" w:rsidRPr="008E7BB4" w:rsidRDefault="008E42C9" w:rsidP="008E42C9">
      <w:pPr>
        <w:spacing w:before="240" w:after="60"/>
        <w:contextualSpacing w:val="0"/>
        <w:rPr>
          <w:rFonts w:ascii="Arial Narrow" w:hAnsi="Arial Narrow"/>
          <w:b/>
        </w:rPr>
      </w:pPr>
      <w:r>
        <w:rPr>
          <w:rFonts w:ascii="Arial Narrow" w:hAnsi="Arial Narrow"/>
          <w:b/>
        </w:rPr>
        <w:t>Commercial</w:t>
      </w:r>
      <w:r w:rsidR="007206EC">
        <w:rPr>
          <w:rFonts w:ascii="Arial Narrow" w:hAnsi="Arial Narrow"/>
          <w:b/>
        </w:rPr>
        <w:t xml:space="preserve"> fishing</w:t>
      </w:r>
    </w:p>
    <w:p w14:paraId="3F222C3E" w14:textId="6EDBF49A" w:rsidR="008E42C9" w:rsidRDefault="008E42C9" w:rsidP="008E42C9">
      <w:pPr>
        <w:pStyle w:val="ListParagraph"/>
        <w:numPr>
          <w:ilvl w:val="0"/>
          <w:numId w:val="26"/>
        </w:numPr>
        <w:spacing w:after="0" w:line="240" w:lineRule="auto"/>
        <w:ind w:left="567" w:hanging="567"/>
        <w:jc w:val="left"/>
        <w:rPr>
          <w:rFonts w:ascii="Arial" w:hAnsi="Arial" w:cs="Arial"/>
          <w:szCs w:val="24"/>
        </w:rPr>
      </w:pPr>
      <w:r>
        <w:rPr>
          <w:rFonts w:ascii="Arial" w:hAnsi="Arial" w:cs="Arial"/>
          <w:szCs w:val="24"/>
        </w:rPr>
        <w:t>Fisheries New Zealand estimates the curren</w:t>
      </w:r>
      <w:r w:rsidR="004E2FCA">
        <w:rPr>
          <w:rFonts w:ascii="Arial" w:hAnsi="Arial" w:cs="Arial"/>
          <w:szCs w:val="24"/>
        </w:rPr>
        <w:t xml:space="preserve">t asset value of the CRA 4 </w:t>
      </w:r>
      <w:r w:rsidR="00161ED0">
        <w:rPr>
          <w:rFonts w:ascii="Arial" w:hAnsi="Arial" w:cs="Arial"/>
          <w:szCs w:val="24"/>
        </w:rPr>
        <w:t xml:space="preserve">fishery </w:t>
      </w:r>
      <w:r w:rsidR="004E2FCA">
        <w:rPr>
          <w:rFonts w:ascii="Arial" w:hAnsi="Arial" w:cs="Arial"/>
          <w:szCs w:val="24"/>
        </w:rPr>
        <w:t>to be over $357</w:t>
      </w:r>
      <w:r>
        <w:rPr>
          <w:rFonts w:ascii="Arial" w:hAnsi="Arial" w:cs="Arial"/>
          <w:szCs w:val="24"/>
        </w:rPr>
        <w:t xml:space="preserve"> million based on the current TACC and the </w:t>
      </w:r>
      <w:r w:rsidR="004E2FCA">
        <w:rPr>
          <w:rFonts w:ascii="Arial" w:hAnsi="Arial" w:cs="Arial"/>
          <w:szCs w:val="24"/>
        </w:rPr>
        <w:t>2017/</w:t>
      </w:r>
      <w:r>
        <w:rPr>
          <w:rFonts w:ascii="Arial" w:hAnsi="Arial" w:cs="Arial"/>
          <w:szCs w:val="24"/>
        </w:rPr>
        <w:t xml:space="preserve">18 </w:t>
      </w:r>
      <w:r w:rsidR="004E2FCA">
        <w:rPr>
          <w:rFonts w:ascii="Arial" w:hAnsi="Arial" w:cs="Arial"/>
          <w:szCs w:val="24"/>
        </w:rPr>
        <w:t xml:space="preserve">average </w:t>
      </w:r>
      <w:r>
        <w:rPr>
          <w:rFonts w:ascii="Arial" w:hAnsi="Arial" w:cs="Arial"/>
          <w:szCs w:val="24"/>
        </w:rPr>
        <w:t xml:space="preserve">quota share price. The average Annual Catch Entitlement (ACE) value (the earnings quota owners receive when </w:t>
      </w:r>
      <w:r w:rsidR="004E2FCA">
        <w:rPr>
          <w:rFonts w:ascii="Arial" w:hAnsi="Arial" w:cs="Arial"/>
          <w:szCs w:val="24"/>
        </w:rPr>
        <w:t>setting their ACE) for the 2017/18 fishing year was $46,975</w:t>
      </w:r>
      <w:r>
        <w:rPr>
          <w:rFonts w:ascii="Arial" w:hAnsi="Arial" w:cs="Arial"/>
          <w:szCs w:val="24"/>
        </w:rPr>
        <w:t xml:space="preserve"> per tonne for CRA 4.</w:t>
      </w:r>
    </w:p>
    <w:p w14:paraId="732B185C" w14:textId="77777777" w:rsidR="008E42C9" w:rsidRDefault="008E42C9" w:rsidP="008E42C9">
      <w:pPr>
        <w:pStyle w:val="ListParagraph"/>
        <w:spacing w:after="0" w:line="240" w:lineRule="auto"/>
        <w:ind w:left="567"/>
        <w:jc w:val="left"/>
        <w:rPr>
          <w:rFonts w:ascii="Arial" w:hAnsi="Arial" w:cs="Arial"/>
          <w:szCs w:val="24"/>
        </w:rPr>
      </w:pPr>
    </w:p>
    <w:p w14:paraId="4D410F05" w14:textId="0096A58D" w:rsidR="008E42C9" w:rsidRDefault="008E42C9" w:rsidP="0055420B">
      <w:pPr>
        <w:pStyle w:val="ListParagraph"/>
        <w:numPr>
          <w:ilvl w:val="0"/>
          <w:numId w:val="26"/>
        </w:numPr>
        <w:spacing w:after="0" w:line="240" w:lineRule="auto"/>
        <w:ind w:left="567" w:hanging="567"/>
        <w:contextualSpacing w:val="0"/>
        <w:jc w:val="left"/>
        <w:rPr>
          <w:rFonts w:ascii="Arial" w:hAnsi="Arial" w:cs="Arial"/>
          <w:szCs w:val="20"/>
        </w:rPr>
      </w:pPr>
      <w:r w:rsidRPr="00CC5049">
        <w:rPr>
          <w:rFonts w:ascii="Arial" w:hAnsi="Arial" w:cs="Arial"/>
          <w:szCs w:val="20"/>
        </w:rPr>
        <w:t xml:space="preserve">Annual landings and the TACCs for CRA 4 since 1990 are shown in Figure </w:t>
      </w:r>
      <w:r w:rsidR="00756AD5">
        <w:rPr>
          <w:rFonts w:ascii="Arial" w:hAnsi="Arial" w:cs="Arial"/>
          <w:szCs w:val="20"/>
        </w:rPr>
        <w:t>7</w:t>
      </w:r>
      <w:r w:rsidRPr="00CC5049">
        <w:rPr>
          <w:rFonts w:ascii="Arial" w:hAnsi="Arial" w:cs="Arial"/>
          <w:szCs w:val="20"/>
        </w:rPr>
        <w:t xml:space="preserve">. </w:t>
      </w:r>
      <w:r w:rsidR="00161ED0">
        <w:rPr>
          <w:rFonts w:ascii="Arial" w:hAnsi="Arial" w:cs="Arial"/>
        </w:rPr>
        <w:t xml:space="preserve">Prior to 1995, there was a New Zealand wide stock assessment with catches apportioned to each Quota Management Area, and TACCs were not set on an annual basis to reflect </w:t>
      </w:r>
      <w:r w:rsidR="00161ED0">
        <w:rPr>
          <w:rFonts w:ascii="Arial" w:hAnsi="Arial" w:cs="Arial"/>
        </w:rPr>
        <w:lastRenderedPageBreak/>
        <w:t xml:space="preserve">available abundance. </w:t>
      </w:r>
      <w:r w:rsidRPr="00CC5049">
        <w:rPr>
          <w:rFonts w:ascii="Arial" w:hAnsi="Arial" w:cs="Arial"/>
          <w:szCs w:val="20"/>
        </w:rPr>
        <w:t>In 2007 and 2008, the industry used a voluntary management procedure to guide Ann</w:t>
      </w:r>
      <w:r w:rsidR="000E6DD8">
        <w:rPr>
          <w:rFonts w:ascii="Arial" w:hAnsi="Arial" w:cs="Arial"/>
          <w:szCs w:val="20"/>
        </w:rPr>
        <w:t xml:space="preserve">ual Catch Entitlement shelving. This resulted in the catch limit going </w:t>
      </w:r>
      <w:r w:rsidRPr="00CC5049">
        <w:rPr>
          <w:rFonts w:ascii="Arial" w:hAnsi="Arial" w:cs="Arial"/>
          <w:szCs w:val="20"/>
        </w:rPr>
        <w:t>down to 340</w:t>
      </w:r>
      <w:r w:rsidR="002A38F0">
        <w:rPr>
          <w:rFonts w:ascii="Arial" w:hAnsi="Arial" w:cs="Arial"/>
          <w:szCs w:val="20"/>
        </w:rPr>
        <w:t xml:space="preserve"> tonnes</w:t>
      </w:r>
      <w:r w:rsidRPr="00CC5049">
        <w:rPr>
          <w:rFonts w:ascii="Arial" w:hAnsi="Arial" w:cs="Arial"/>
          <w:szCs w:val="20"/>
        </w:rPr>
        <w:t xml:space="preserve"> </w:t>
      </w:r>
      <w:r w:rsidR="000E6DD8">
        <w:rPr>
          <w:rFonts w:ascii="Arial" w:hAnsi="Arial" w:cs="Arial"/>
          <w:szCs w:val="20"/>
        </w:rPr>
        <w:t xml:space="preserve">in 2007 </w:t>
      </w:r>
      <w:r w:rsidRPr="00CC5049">
        <w:rPr>
          <w:rFonts w:ascii="Arial" w:hAnsi="Arial" w:cs="Arial"/>
          <w:szCs w:val="20"/>
        </w:rPr>
        <w:t xml:space="preserve">and 250 tonnes </w:t>
      </w:r>
      <w:r w:rsidR="000E6DD8">
        <w:rPr>
          <w:rFonts w:ascii="Arial" w:hAnsi="Arial" w:cs="Arial"/>
          <w:szCs w:val="20"/>
        </w:rPr>
        <w:t>in 2008,</w:t>
      </w:r>
      <w:r w:rsidRPr="00CC5049">
        <w:rPr>
          <w:rFonts w:ascii="Arial" w:hAnsi="Arial" w:cs="Arial"/>
          <w:szCs w:val="20"/>
        </w:rPr>
        <w:t xml:space="preserve"> and is why the TACC wasn’t </w:t>
      </w:r>
      <w:r w:rsidR="000E6DD8">
        <w:rPr>
          <w:rFonts w:ascii="Arial" w:hAnsi="Arial" w:cs="Arial"/>
          <w:szCs w:val="20"/>
        </w:rPr>
        <w:t>fully caught in these years</w:t>
      </w:r>
      <w:r w:rsidRPr="00CC5049">
        <w:rPr>
          <w:rFonts w:ascii="Arial" w:hAnsi="Arial" w:cs="Arial"/>
          <w:szCs w:val="20"/>
        </w:rPr>
        <w:t>. Since 2012</w:t>
      </w:r>
      <w:r>
        <w:rPr>
          <w:rFonts w:ascii="Arial" w:hAnsi="Arial" w:cs="Arial"/>
          <w:szCs w:val="20"/>
        </w:rPr>
        <w:t>,</w:t>
      </w:r>
      <w:r w:rsidRPr="00CC5049">
        <w:rPr>
          <w:rFonts w:ascii="Arial" w:hAnsi="Arial" w:cs="Arial"/>
          <w:szCs w:val="20"/>
        </w:rPr>
        <w:t xml:space="preserve"> a management procedure ha</w:t>
      </w:r>
      <w:r w:rsidR="00D72863">
        <w:rPr>
          <w:rFonts w:ascii="Arial" w:hAnsi="Arial" w:cs="Arial"/>
          <w:szCs w:val="20"/>
        </w:rPr>
        <w:t xml:space="preserve">s been used in CRA 4 to </w:t>
      </w:r>
      <w:r w:rsidRPr="00CC5049">
        <w:rPr>
          <w:rFonts w:ascii="Arial" w:hAnsi="Arial" w:cs="Arial"/>
          <w:szCs w:val="20"/>
        </w:rPr>
        <w:t>review the TACC</w:t>
      </w:r>
      <w:r w:rsidR="00F969AA">
        <w:rPr>
          <w:rFonts w:ascii="Arial" w:hAnsi="Arial" w:cs="Arial"/>
          <w:szCs w:val="20"/>
        </w:rPr>
        <w:t xml:space="preserve"> annually</w:t>
      </w:r>
      <w:r w:rsidR="00161ED0">
        <w:rPr>
          <w:rFonts w:ascii="Arial" w:hAnsi="Arial" w:cs="Arial"/>
          <w:szCs w:val="20"/>
        </w:rPr>
        <w:t xml:space="preserve"> </w:t>
      </w:r>
      <w:r w:rsidR="00161ED0" w:rsidRPr="0055420B">
        <w:rPr>
          <w:rFonts w:ascii="Arial" w:hAnsi="Arial" w:cs="Arial"/>
        </w:rPr>
        <w:t>to ensure catches reflect available abundance</w:t>
      </w:r>
      <w:r w:rsidRPr="00CC5049">
        <w:rPr>
          <w:rFonts w:ascii="Arial" w:hAnsi="Arial" w:cs="Arial"/>
          <w:szCs w:val="20"/>
        </w:rPr>
        <w:t>.</w:t>
      </w:r>
    </w:p>
    <w:p w14:paraId="219B116B" w14:textId="77777777" w:rsidR="0055420B" w:rsidRDefault="0020022A" w:rsidP="0055420B">
      <w:pPr>
        <w:contextualSpacing w:val="0"/>
        <w:rPr>
          <w:rFonts w:ascii="Arial Narrow" w:hAnsi="Arial Narrow"/>
          <w:b/>
        </w:rPr>
      </w:pPr>
      <w:r>
        <w:rPr>
          <w:noProof/>
          <w:lang w:eastAsia="en-NZ"/>
        </w:rPr>
        <w:drawing>
          <wp:inline distT="0" distB="0" distL="0" distR="0" wp14:anchorId="01C0AE27" wp14:editId="57E5D234">
            <wp:extent cx="5731510" cy="2452209"/>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A4.jpeg"/>
                    <pic:cNvPicPr/>
                  </pic:nvPicPr>
                  <pic:blipFill>
                    <a:blip r:embed="rId31">
                      <a:extLst>
                        <a:ext uri="{28A0092B-C50C-407E-A947-70E740481C1C}">
                          <a14:useLocalDpi xmlns:a14="http://schemas.microsoft.com/office/drawing/2010/main" val="0"/>
                        </a:ext>
                      </a:extLst>
                    </a:blip>
                    <a:stretch>
                      <a:fillRect/>
                    </a:stretch>
                  </pic:blipFill>
                  <pic:spPr>
                    <a:xfrm>
                      <a:off x="0" y="0"/>
                      <a:ext cx="5731510" cy="2452209"/>
                    </a:xfrm>
                    <a:prstGeom prst="rect">
                      <a:avLst/>
                    </a:prstGeom>
                  </pic:spPr>
                </pic:pic>
              </a:graphicData>
            </a:graphic>
          </wp:inline>
        </w:drawing>
      </w:r>
    </w:p>
    <w:p w14:paraId="12E1F6AB" w14:textId="54F7FE07" w:rsidR="0020022A" w:rsidRPr="0020022A" w:rsidRDefault="00756AD5" w:rsidP="0055420B">
      <w:pPr>
        <w:spacing w:before="120"/>
        <w:contextualSpacing w:val="0"/>
        <w:rPr>
          <w:rFonts w:ascii="Arial Narrow" w:hAnsi="Arial Narrow"/>
        </w:rPr>
      </w:pPr>
      <w:r>
        <w:rPr>
          <w:rFonts w:ascii="Arial Narrow" w:hAnsi="Arial Narrow"/>
          <w:b/>
        </w:rPr>
        <w:t>Figure 7</w:t>
      </w:r>
      <w:r w:rsidR="0020022A" w:rsidRPr="0020022A">
        <w:rPr>
          <w:rFonts w:ascii="Arial Narrow" w:hAnsi="Arial Narrow"/>
          <w:b/>
        </w:rPr>
        <w:t>: CRA 4 commercial land</w:t>
      </w:r>
      <w:r w:rsidR="00D72863">
        <w:rPr>
          <w:rFonts w:ascii="Arial Narrow" w:hAnsi="Arial Narrow"/>
          <w:b/>
        </w:rPr>
        <w:t>ings and TACCs from 1990 to 2018</w:t>
      </w:r>
      <w:r w:rsidR="0020022A" w:rsidRPr="0020022A">
        <w:rPr>
          <w:rFonts w:ascii="Arial Narrow" w:hAnsi="Arial Narrow"/>
          <w:b/>
        </w:rPr>
        <w:t>.</w:t>
      </w:r>
    </w:p>
    <w:p w14:paraId="70EAF682" w14:textId="7F7E4E04" w:rsidR="008E42C9" w:rsidRDefault="008E42C9" w:rsidP="0020022A">
      <w:pPr>
        <w:pStyle w:val="ListParagraph"/>
        <w:spacing w:after="0" w:line="240" w:lineRule="auto"/>
        <w:ind w:left="567"/>
        <w:jc w:val="left"/>
        <w:rPr>
          <w:rFonts w:ascii="Arial" w:hAnsi="Arial" w:cs="Arial"/>
          <w:szCs w:val="24"/>
        </w:rPr>
      </w:pPr>
    </w:p>
    <w:p w14:paraId="679F5475" w14:textId="524BD093" w:rsidR="00943466" w:rsidRDefault="00943466" w:rsidP="00B3771B">
      <w:pPr>
        <w:pStyle w:val="Heading2"/>
        <w:spacing w:after="60"/>
      </w:pPr>
      <w:bookmarkStart w:id="82" w:name="_Toc532471891"/>
      <w:r>
        <w:t>CRA 4 Stock Status</w:t>
      </w:r>
      <w:bookmarkEnd w:id="75"/>
      <w:bookmarkEnd w:id="76"/>
      <w:bookmarkEnd w:id="77"/>
      <w:bookmarkEnd w:id="78"/>
      <w:bookmarkEnd w:id="79"/>
      <w:bookmarkEnd w:id="80"/>
      <w:bookmarkEnd w:id="81"/>
      <w:r w:rsidR="0020022A">
        <w:t xml:space="preserve"> and previous Actions</w:t>
      </w:r>
      <w:bookmarkEnd w:id="82"/>
    </w:p>
    <w:p w14:paraId="6677F135" w14:textId="3A36D5F9" w:rsidR="00943466" w:rsidRDefault="00943466" w:rsidP="000E51AE">
      <w:pPr>
        <w:pStyle w:val="ListParagraph"/>
        <w:numPr>
          <w:ilvl w:val="0"/>
          <w:numId w:val="26"/>
        </w:numPr>
        <w:spacing w:after="0" w:line="240" w:lineRule="auto"/>
        <w:ind w:left="567" w:hanging="567"/>
        <w:jc w:val="left"/>
        <w:rPr>
          <w:rFonts w:ascii="Arial" w:hAnsi="Arial" w:cs="Arial"/>
          <w:szCs w:val="24"/>
        </w:rPr>
      </w:pPr>
      <w:r w:rsidRPr="00982C6D">
        <w:rPr>
          <w:rFonts w:ascii="Arial" w:hAnsi="Arial" w:cs="Arial"/>
          <w:szCs w:val="24"/>
        </w:rPr>
        <w:t>The results of the CRA 4 stock assessment carried out in 2016 suggest</w:t>
      </w:r>
      <w:r w:rsidR="002375B4">
        <w:rPr>
          <w:rFonts w:ascii="Arial" w:hAnsi="Arial" w:cs="Arial"/>
          <w:szCs w:val="24"/>
        </w:rPr>
        <w:t>ed</w:t>
      </w:r>
      <w:r w:rsidRPr="00982C6D">
        <w:rPr>
          <w:rFonts w:ascii="Arial" w:hAnsi="Arial" w:cs="Arial"/>
          <w:szCs w:val="24"/>
        </w:rPr>
        <w:t xml:space="preserve"> that stock biomass was below the agreed reference level, </w:t>
      </w:r>
      <w:r w:rsidRPr="00982C6D">
        <w:rPr>
          <w:rFonts w:ascii="Arial" w:hAnsi="Arial" w:cs="Arial"/>
          <w:i/>
          <w:szCs w:val="24"/>
        </w:rPr>
        <w:t>B</w:t>
      </w:r>
      <w:r w:rsidRPr="00982C6D">
        <w:rPr>
          <w:rFonts w:ascii="Arial" w:hAnsi="Arial" w:cs="Arial"/>
          <w:i/>
          <w:szCs w:val="24"/>
          <w:vertAlign w:val="subscript"/>
        </w:rPr>
        <w:t>REF,</w:t>
      </w:r>
      <w:r w:rsidRPr="00982C6D">
        <w:rPr>
          <w:rFonts w:ascii="Arial" w:hAnsi="Arial" w:cs="Arial"/>
          <w:szCs w:val="24"/>
        </w:rPr>
        <w:t xml:space="preserve"> by 25%.</w:t>
      </w:r>
      <w:r w:rsidRPr="00982C6D">
        <w:rPr>
          <w:rStyle w:val="FootnoteReference"/>
          <w:rFonts w:ascii="Arial" w:eastAsiaTheme="majorEastAsia" w:hAnsi="Arial" w:cs="Arial"/>
          <w:szCs w:val="24"/>
        </w:rPr>
        <w:footnoteReference w:id="14"/>
      </w:r>
      <w:r w:rsidRPr="00982C6D">
        <w:rPr>
          <w:rFonts w:ascii="Arial" w:hAnsi="Arial" w:cs="Arial"/>
          <w:szCs w:val="24"/>
        </w:rPr>
        <w:t xml:space="preserve"> Spawning stock biomass in 2016 was 51% of the unfished level, well above</w:t>
      </w:r>
      <w:r w:rsidR="008E7BB4">
        <w:rPr>
          <w:rFonts w:ascii="Arial" w:hAnsi="Arial" w:cs="Arial"/>
          <w:szCs w:val="24"/>
        </w:rPr>
        <w:t xml:space="preserve"> the soft limit of 20% where</w:t>
      </w:r>
      <w:r w:rsidRPr="00982C6D">
        <w:rPr>
          <w:rFonts w:ascii="Arial" w:hAnsi="Arial" w:cs="Arial"/>
          <w:szCs w:val="24"/>
        </w:rPr>
        <w:t xml:space="preserve"> it is </w:t>
      </w:r>
      <w:r w:rsidR="002375B4">
        <w:rPr>
          <w:rFonts w:ascii="Arial" w:hAnsi="Arial" w:cs="Arial"/>
          <w:szCs w:val="24"/>
        </w:rPr>
        <w:t>Fisheries New Zealand</w:t>
      </w:r>
      <w:r w:rsidR="00420FD6">
        <w:rPr>
          <w:rFonts w:ascii="Arial" w:hAnsi="Arial" w:cs="Arial"/>
          <w:szCs w:val="24"/>
        </w:rPr>
        <w:t xml:space="preserve"> </w:t>
      </w:r>
      <w:r w:rsidRPr="00982C6D">
        <w:rPr>
          <w:rFonts w:ascii="Arial" w:hAnsi="Arial" w:cs="Arial"/>
          <w:szCs w:val="24"/>
        </w:rPr>
        <w:t>policy to implement a formal, t</w:t>
      </w:r>
      <w:r w:rsidR="008E7BB4">
        <w:rPr>
          <w:rFonts w:ascii="Arial" w:hAnsi="Arial" w:cs="Arial"/>
          <w:szCs w:val="24"/>
        </w:rPr>
        <w:t>ime-constrained rebuilding plan.</w:t>
      </w:r>
    </w:p>
    <w:p w14:paraId="17A8FA27" w14:textId="77777777" w:rsidR="00161ED0" w:rsidRDefault="00161ED0" w:rsidP="00161ED0">
      <w:pPr>
        <w:pStyle w:val="ListParagraph"/>
        <w:spacing w:after="0" w:line="240" w:lineRule="auto"/>
        <w:ind w:left="567"/>
        <w:jc w:val="left"/>
        <w:rPr>
          <w:rFonts w:ascii="Arial" w:hAnsi="Arial" w:cs="Arial"/>
          <w:szCs w:val="24"/>
        </w:rPr>
      </w:pPr>
    </w:p>
    <w:p w14:paraId="1E04D39C" w14:textId="5E2BE7D7" w:rsidR="008E7BB4" w:rsidRPr="00982C6D" w:rsidRDefault="0020022A" w:rsidP="000E51AE">
      <w:pPr>
        <w:pStyle w:val="ListParagraph"/>
        <w:numPr>
          <w:ilvl w:val="0"/>
          <w:numId w:val="26"/>
        </w:numPr>
        <w:spacing w:after="0" w:line="240" w:lineRule="auto"/>
        <w:ind w:left="567" w:hanging="567"/>
        <w:jc w:val="left"/>
        <w:rPr>
          <w:rFonts w:ascii="Arial" w:hAnsi="Arial" w:cs="Arial"/>
          <w:szCs w:val="24"/>
        </w:rPr>
      </w:pPr>
      <w:r>
        <w:rPr>
          <w:rFonts w:ascii="Arial" w:hAnsi="Arial" w:cs="Arial"/>
          <w:szCs w:val="24"/>
        </w:rPr>
        <w:t xml:space="preserve">Following the </w:t>
      </w:r>
      <w:r w:rsidR="008E7BB4">
        <w:rPr>
          <w:rFonts w:ascii="Arial" w:hAnsi="Arial" w:cs="Arial"/>
          <w:szCs w:val="24"/>
        </w:rPr>
        <w:t>2016 stock assessment results, a new CRA 4 management procedure was agreed for use in guiding TAC setting from April 2017. This was to ensure stock biomass was rebuilt towards the agreed reference level in the next five years. The operation of the management procedure in its first year resulted in a substantial TAC reductions from 592 to 484 tonnes from 1 April 2017.</w:t>
      </w:r>
    </w:p>
    <w:p w14:paraId="5B3AE8B8" w14:textId="77777777" w:rsidR="00943466" w:rsidRPr="00982C6D" w:rsidRDefault="00943466" w:rsidP="00943466">
      <w:pPr>
        <w:pStyle w:val="ListParagraph"/>
        <w:spacing w:after="0" w:line="240" w:lineRule="auto"/>
        <w:ind w:left="567"/>
        <w:rPr>
          <w:rFonts w:ascii="Arial" w:hAnsi="Arial" w:cs="Arial"/>
          <w:szCs w:val="24"/>
        </w:rPr>
      </w:pPr>
    </w:p>
    <w:p w14:paraId="7DFEC10B" w14:textId="023F7FE1" w:rsidR="00943466" w:rsidRDefault="00943466" w:rsidP="004E2FCA">
      <w:pPr>
        <w:pStyle w:val="ListParagraph"/>
        <w:numPr>
          <w:ilvl w:val="0"/>
          <w:numId w:val="26"/>
        </w:numPr>
        <w:spacing w:after="120" w:line="240" w:lineRule="auto"/>
        <w:ind w:left="567" w:hanging="567"/>
        <w:contextualSpacing w:val="0"/>
        <w:jc w:val="left"/>
        <w:rPr>
          <w:rFonts w:ascii="Arial" w:hAnsi="Arial" w:cs="Arial"/>
          <w:szCs w:val="24"/>
        </w:rPr>
      </w:pPr>
      <w:r w:rsidRPr="00982C6D">
        <w:rPr>
          <w:rFonts w:ascii="Arial" w:hAnsi="Arial" w:cs="Arial"/>
          <w:szCs w:val="24"/>
        </w:rPr>
        <w:t>Standardised CPUE is considered to be a reliable indicator of relative stock size in CRA 4</w:t>
      </w:r>
      <w:r w:rsidR="00AE6D2B">
        <w:rPr>
          <w:rFonts w:ascii="Arial" w:hAnsi="Arial" w:cs="Arial"/>
          <w:szCs w:val="24"/>
        </w:rPr>
        <w:t xml:space="preserve">.It </w:t>
      </w:r>
      <w:r w:rsidRPr="00982C6D">
        <w:rPr>
          <w:rFonts w:ascii="Arial" w:hAnsi="Arial" w:cs="Arial"/>
          <w:szCs w:val="24"/>
        </w:rPr>
        <w:t xml:space="preserve">is the abundance indicator used in the </w:t>
      </w:r>
      <w:r w:rsidR="00AE6D2B">
        <w:rPr>
          <w:rFonts w:ascii="Arial" w:hAnsi="Arial" w:cs="Arial"/>
          <w:szCs w:val="24"/>
        </w:rPr>
        <w:t xml:space="preserve">current </w:t>
      </w:r>
      <w:r w:rsidRPr="00982C6D">
        <w:rPr>
          <w:rFonts w:ascii="Arial" w:hAnsi="Arial" w:cs="Arial"/>
          <w:szCs w:val="24"/>
        </w:rPr>
        <w:t xml:space="preserve">CRA 4 management </w:t>
      </w:r>
      <w:r w:rsidR="00420FD6" w:rsidRPr="00982C6D">
        <w:rPr>
          <w:rFonts w:ascii="Arial" w:hAnsi="Arial" w:cs="Arial"/>
          <w:szCs w:val="24"/>
        </w:rPr>
        <w:t>procedure</w:t>
      </w:r>
      <w:r w:rsidRPr="00982C6D">
        <w:rPr>
          <w:rFonts w:ascii="Arial" w:hAnsi="Arial" w:cs="Arial"/>
          <w:szCs w:val="24"/>
        </w:rPr>
        <w:t>. The history of CRA 4 commercial CPUE is shown in Figure </w:t>
      </w:r>
      <w:r w:rsidR="00756AD5">
        <w:rPr>
          <w:rFonts w:ascii="Arial" w:hAnsi="Arial" w:cs="Arial"/>
          <w:szCs w:val="24"/>
        </w:rPr>
        <w:t>8</w:t>
      </w:r>
      <w:r w:rsidRPr="00982C6D">
        <w:rPr>
          <w:rFonts w:ascii="Arial" w:hAnsi="Arial" w:cs="Arial"/>
          <w:szCs w:val="24"/>
        </w:rPr>
        <w:t xml:space="preserve">. CPUE increased from 2008 to 2012, then declined. </w:t>
      </w:r>
      <w:r w:rsidR="00AE6D2B">
        <w:rPr>
          <w:rFonts w:ascii="Arial" w:hAnsi="Arial" w:cs="Arial"/>
          <w:szCs w:val="24"/>
        </w:rPr>
        <w:t xml:space="preserve">CRA 4 </w:t>
      </w:r>
      <w:r w:rsidRPr="00982C6D">
        <w:rPr>
          <w:rFonts w:ascii="Arial" w:hAnsi="Arial" w:cs="Arial"/>
          <w:szCs w:val="24"/>
        </w:rPr>
        <w:t xml:space="preserve">CPUE </w:t>
      </w:r>
      <w:r w:rsidR="00AE6D2B">
        <w:rPr>
          <w:rFonts w:ascii="Arial" w:hAnsi="Arial" w:cs="Arial"/>
          <w:szCs w:val="24"/>
        </w:rPr>
        <w:t xml:space="preserve">has </w:t>
      </w:r>
      <w:r w:rsidRPr="00982C6D">
        <w:rPr>
          <w:rFonts w:ascii="Arial" w:hAnsi="Arial" w:cs="Arial"/>
          <w:szCs w:val="24"/>
        </w:rPr>
        <w:t xml:space="preserve">increased </w:t>
      </w:r>
      <w:r w:rsidR="00AE6D2B">
        <w:rPr>
          <w:rFonts w:ascii="Arial" w:hAnsi="Arial" w:cs="Arial"/>
          <w:szCs w:val="24"/>
        </w:rPr>
        <w:t xml:space="preserve">since 2016 </w:t>
      </w:r>
      <w:r w:rsidRPr="00982C6D">
        <w:rPr>
          <w:rFonts w:ascii="Arial" w:hAnsi="Arial" w:cs="Arial"/>
          <w:szCs w:val="24"/>
        </w:rPr>
        <w:t>from 0.69 to 0.</w:t>
      </w:r>
      <w:r w:rsidR="00AE6D2B">
        <w:rPr>
          <w:rFonts w:ascii="Arial" w:hAnsi="Arial" w:cs="Arial"/>
          <w:szCs w:val="24"/>
        </w:rPr>
        <w:t>90</w:t>
      </w:r>
      <w:r w:rsidRPr="00982C6D">
        <w:rPr>
          <w:rFonts w:ascii="Arial" w:hAnsi="Arial" w:cs="Arial"/>
          <w:szCs w:val="24"/>
        </w:rPr>
        <w:t xml:space="preserve"> kg/potlift, suggesting rock lobster abundance in CRA 4</w:t>
      </w:r>
      <w:r w:rsidR="00AE6D2B">
        <w:rPr>
          <w:rFonts w:ascii="Arial" w:hAnsi="Arial" w:cs="Arial"/>
          <w:szCs w:val="24"/>
        </w:rPr>
        <w:t xml:space="preserve"> has increased</w:t>
      </w:r>
      <w:r w:rsidRPr="00982C6D">
        <w:rPr>
          <w:rFonts w:ascii="Arial" w:hAnsi="Arial" w:cs="Arial"/>
          <w:szCs w:val="24"/>
        </w:rPr>
        <w:t>.</w:t>
      </w:r>
    </w:p>
    <w:p w14:paraId="3140B9E9" w14:textId="0106AD7B" w:rsidR="00943466" w:rsidRDefault="00CE29B5" w:rsidP="00943466">
      <w:pPr>
        <w:rPr>
          <w:rFonts w:ascii="Times New Roman" w:hAnsi="Times New Roman"/>
        </w:rPr>
      </w:pPr>
      <w:r w:rsidRPr="00CE29B5">
        <w:rPr>
          <w:rFonts w:ascii="Times New Roman" w:hAnsi="Times New Roman"/>
          <w:noProof/>
          <w:lang w:eastAsia="en-NZ"/>
        </w:rPr>
        <w:lastRenderedPageBreak/>
        <w:drawing>
          <wp:inline distT="0" distB="0" distL="0" distR="0" wp14:anchorId="7839F084" wp14:editId="167C16F0">
            <wp:extent cx="5731510" cy="34385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438525"/>
                    </a:xfrm>
                    <a:prstGeom prst="rect">
                      <a:avLst/>
                    </a:prstGeom>
                  </pic:spPr>
                </pic:pic>
              </a:graphicData>
            </a:graphic>
          </wp:inline>
        </w:drawing>
      </w:r>
    </w:p>
    <w:p w14:paraId="1B28DD50" w14:textId="5F12DC39" w:rsidR="00943466" w:rsidRPr="00853D93" w:rsidRDefault="00943466" w:rsidP="00157BE9">
      <w:pPr>
        <w:spacing w:before="120"/>
        <w:contextualSpacing w:val="0"/>
        <w:rPr>
          <w:rFonts w:ascii="Arial Narrow" w:hAnsi="Arial Narrow"/>
          <w:b/>
          <w:sz w:val="22"/>
        </w:rPr>
      </w:pPr>
      <w:r w:rsidRPr="000E51AE">
        <w:rPr>
          <w:rFonts w:ascii="Arial Narrow" w:hAnsi="Arial Narrow"/>
          <w:b/>
          <w:sz w:val="22"/>
        </w:rPr>
        <w:t xml:space="preserve">Figure </w:t>
      </w:r>
      <w:r w:rsidR="00756AD5">
        <w:rPr>
          <w:rFonts w:ascii="Arial Narrow" w:hAnsi="Arial Narrow"/>
          <w:b/>
          <w:sz w:val="22"/>
        </w:rPr>
        <w:t>8</w:t>
      </w:r>
      <w:r w:rsidRPr="000E51AE">
        <w:rPr>
          <w:rFonts w:ascii="Arial Narrow" w:hAnsi="Arial Narrow"/>
          <w:b/>
          <w:sz w:val="22"/>
        </w:rPr>
        <w:t xml:space="preserve">: </w:t>
      </w:r>
      <w:r w:rsidR="00AE6D2B" w:rsidRPr="00F1422F">
        <w:rPr>
          <w:rFonts w:ascii="Arial Narrow" w:hAnsi="Arial Narrow"/>
          <w:b/>
          <w:sz w:val="22"/>
        </w:rPr>
        <w:t>CRA </w:t>
      </w:r>
      <w:r w:rsidR="00AE6D2B" w:rsidRPr="00853D93">
        <w:rPr>
          <w:rFonts w:ascii="Arial Narrow" w:hAnsi="Arial Narrow"/>
          <w:b/>
          <w:sz w:val="22"/>
        </w:rPr>
        <w:t>4</w:t>
      </w:r>
      <w:r w:rsidR="005E78F3">
        <w:rPr>
          <w:rFonts w:ascii="Arial Narrow" w:hAnsi="Arial Narrow"/>
          <w:b/>
          <w:sz w:val="22"/>
        </w:rPr>
        <w:t xml:space="preserve"> </w:t>
      </w:r>
      <w:r w:rsidR="00DE3ECB" w:rsidRPr="00853D93">
        <w:rPr>
          <w:rFonts w:ascii="Arial Narrow" w:hAnsi="Arial Narrow"/>
          <w:b/>
          <w:sz w:val="22"/>
        </w:rPr>
        <w:t xml:space="preserve">CPUE </w:t>
      </w:r>
      <w:r w:rsidR="00AE6D2B" w:rsidRPr="00853D93">
        <w:rPr>
          <w:rFonts w:ascii="Arial Narrow" w:hAnsi="Arial Narrow"/>
          <w:b/>
          <w:sz w:val="22"/>
        </w:rPr>
        <w:t xml:space="preserve">from </w:t>
      </w:r>
      <w:r w:rsidR="00DE3ECB" w:rsidRPr="00853D93">
        <w:rPr>
          <w:rFonts w:ascii="Arial Narrow" w:hAnsi="Arial Narrow"/>
          <w:b/>
          <w:sz w:val="22"/>
        </w:rPr>
        <w:t xml:space="preserve">1980 </w:t>
      </w:r>
      <w:r w:rsidR="00AE6D2B" w:rsidRPr="00853D93">
        <w:rPr>
          <w:rFonts w:ascii="Arial Narrow" w:hAnsi="Arial Narrow"/>
          <w:b/>
          <w:sz w:val="22"/>
        </w:rPr>
        <w:t>to</w:t>
      </w:r>
      <w:r w:rsidR="00DE3ECB" w:rsidRPr="00853D93">
        <w:rPr>
          <w:rFonts w:ascii="Arial Narrow" w:hAnsi="Arial Narrow"/>
          <w:b/>
          <w:sz w:val="22"/>
        </w:rPr>
        <w:t xml:space="preserve"> 2018 </w:t>
      </w:r>
      <w:r w:rsidR="00AE6D2B" w:rsidRPr="00853D93">
        <w:rPr>
          <w:rFonts w:ascii="Arial Narrow" w:hAnsi="Arial Narrow"/>
          <w:b/>
          <w:sz w:val="22"/>
        </w:rPr>
        <w:t>(kg/potlift).</w:t>
      </w:r>
    </w:p>
    <w:p w14:paraId="09BF0C59" w14:textId="77777777" w:rsidR="00943466" w:rsidRDefault="00943466" w:rsidP="00943466">
      <w:pPr>
        <w:rPr>
          <w:rFonts w:ascii="Arial Narrow" w:hAnsi="Arial Narrow"/>
          <w:b/>
        </w:rPr>
      </w:pPr>
    </w:p>
    <w:p w14:paraId="2CD9F920" w14:textId="41F5279A" w:rsidR="00FA72C5" w:rsidRDefault="00FA72C5" w:rsidP="00FA72C5">
      <w:pPr>
        <w:pStyle w:val="Heading2"/>
        <w:spacing w:after="60"/>
      </w:pPr>
      <w:bookmarkStart w:id="83" w:name="_Toc532471892"/>
      <w:r>
        <w:t>the current cra 4 management procedure</w:t>
      </w:r>
      <w:bookmarkEnd w:id="83"/>
    </w:p>
    <w:p w14:paraId="270A0D2C" w14:textId="77777777" w:rsidR="00161ED0" w:rsidRDefault="00161ED0" w:rsidP="00CE29B5">
      <w:pPr>
        <w:pStyle w:val="ListParagraph"/>
        <w:numPr>
          <w:ilvl w:val="0"/>
          <w:numId w:val="26"/>
        </w:numPr>
        <w:spacing w:after="0" w:line="240" w:lineRule="auto"/>
        <w:ind w:left="567" w:hanging="567"/>
        <w:contextualSpacing w:val="0"/>
        <w:jc w:val="left"/>
        <w:rPr>
          <w:rFonts w:ascii="Arial" w:hAnsi="Arial" w:cs="Arial"/>
          <w:szCs w:val="20"/>
        </w:rPr>
      </w:pPr>
      <w:r>
        <w:rPr>
          <w:rFonts w:ascii="Arial" w:hAnsi="Arial" w:cs="Arial"/>
          <w:szCs w:val="20"/>
        </w:rPr>
        <w:t xml:space="preserve">The </w:t>
      </w:r>
      <w:r w:rsidR="00FA72C5" w:rsidRPr="00FA72C5">
        <w:rPr>
          <w:rFonts w:ascii="Arial" w:hAnsi="Arial" w:cs="Arial"/>
          <w:szCs w:val="20"/>
        </w:rPr>
        <w:t>Government agreed to use the current CRA 4 management procedure i</w:t>
      </w:r>
      <w:r w:rsidR="003C1C4A">
        <w:rPr>
          <w:rFonts w:ascii="Arial" w:hAnsi="Arial" w:cs="Arial"/>
          <w:szCs w:val="20"/>
        </w:rPr>
        <w:t xml:space="preserve">n 2017 to form the basis of </w:t>
      </w:r>
      <w:r w:rsidR="00FA72C5" w:rsidRPr="00FA72C5">
        <w:rPr>
          <w:rFonts w:ascii="Arial" w:hAnsi="Arial" w:cs="Arial"/>
          <w:szCs w:val="20"/>
        </w:rPr>
        <w:t xml:space="preserve">management </w:t>
      </w:r>
      <w:r w:rsidR="00FA72C5" w:rsidRPr="003C1C4A">
        <w:rPr>
          <w:rFonts w:ascii="Arial" w:hAnsi="Arial" w:cs="Arial"/>
          <w:szCs w:val="20"/>
        </w:rPr>
        <w:t>action</w:t>
      </w:r>
      <w:r w:rsidR="003C1C4A" w:rsidRPr="003C1C4A">
        <w:rPr>
          <w:rFonts w:ascii="Arial" w:hAnsi="Arial" w:cs="Arial"/>
          <w:szCs w:val="20"/>
        </w:rPr>
        <w:t xml:space="preserve"> </w:t>
      </w:r>
      <w:r w:rsidR="00FA72C5" w:rsidRPr="003C1C4A">
        <w:rPr>
          <w:rFonts w:ascii="Arial" w:hAnsi="Arial" w:cs="Arial"/>
          <w:szCs w:val="20"/>
        </w:rPr>
        <w:t xml:space="preserve">to </w:t>
      </w:r>
      <w:r w:rsidR="003C1C4A" w:rsidRPr="003C1C4A">
        <w:rPr>
          <w:rFonts w:ascii="Arial" w:hAnsi="Arial" w:cs="Arial"/>
          <w:szCs w:val="20"/>
        </w:rPr>
        <w:t xml:space="preserve">the </w:t>
      </w:r>
      <w:r w:rsidR="00FA72C5" w:rsidRPr="003C1C4A">
        <w:rPr>
          <w:rFonts w:ascii="Arial" w:hAnsi="Arial" w:cs="Arial"/>
          <w:szCs w:val="20"/>
        </w:rPr>
        <w:t>2021/22</w:t>
      </w:r>
      <w:r w:rsidR="003C1C4A" w:rsidRPr="003C1C4A">
        <w:rPr>
          <w:rFonts w:ascii="Arial" w:hAnsi="Arial" w:cs="Arial"/>
          <w:szCs w:val="20"/>
        </w:rPr>
        <w:t xml:space="preserve"> fishing year</w:t>
      </w:r>
      <w:r w:rsidR="00FA72C5" w:rsidRPr="003C1C4A">
        <w:rPr>
          <w:rFonts w:ascii="Arial" w:hAnsi="Arial" w:cs="Arial"/>
          <w:szCs w:val="20"/>
        </w:rPr>
        <w:t>. A</w:t>
      </w:r>
      <w:r w:rsidR="00FA72C5" w:rsidRPr="00FA72C5">
        <w:rPr>
          <w:rFonts w:ascii="Arial" w:hAnsi="Arial" w:cs="Arial"/>
          <w:szCs w:val="20"/>
        </w:rPr>
        <w:t xml:space="preserve"> graphical representation of the current pro</w:t>
      </w:r>
      <w:r w:rsidR="00756AD5">
        <w:rPr>
          <w:rFonts w:ascii="Arial" w:hAnsi="Arial" w:cs="Arial"/>
          <w:szCs w:val="20"/>
        </w:rPr>
        <w:t>cedure is provided in Figure 9</w:t>
      </w:r>
      <w:r w:rsidR="00FA72C5" w:rsidRPr="00FA72C5">
        <w:rPr>
          <w:rFonts w:ascii="Arial" w:hAnsi="Arial" w:cs="Arial"/>
          <w:szCs w:val="20"/>
        </w:rPr>
        <w:t xml:space="preserve">. The graph shows the proposed TACC for the next year as a function of CPUE in the current year. </w:t>
      </w:r>
    </w:p>
    <w:p w14:paraId="18324154" w14:textId="77777777" w:rsidR="00161ED0" w:rsidRDefault="00161ED0" w:rsidP="00161ED0">
      <w:pPr>
        <w:pStyle w:val="ListParagraph"/>
        <w:spacing w:after="0" w:line="240" w:lineRule="auto"/>
        <w:ind w:left="567"/>
        <w:contextualSpacing w:val="0"/>
        <w:jc w:val="left"/>
        <w:rPr>
          <w:rFonts w:ascii="Arial" w:hAnsi="Arial" w:cs="Arial"/>
          <w:szCs w:val="20"/>
        </w:rPr>
      </w:pPr>
    </w:p>
    <w:p w14:paraId="0B92DF3D" w14:textId="47A82222" w:rsidR="00FA72C5" w:rsidRPr="00FA72C5" w:rsidRDefault="00FA72C5" w:rsidP="00CE29B5">
      <w:pPr>
        <w:pStyle w:val="ListParagraph"/>
        <w:numPr>
          <w:ilvl w:val="0"/>
          <w:numId w:val="26"/>
        </w:numPr>
        <w:spacing w:after="0" w:line="240" w:lineRule="auto"/>
        <w:ind w:left="567" w:hanging="567"/>
        <w:contextualSpacing w:val="0"/>
        <w:jc w:val="left"/>
        <w:rPr>
          <w:rFonts w:ascii="Arial" w:hAnsi="Arial" w:cs="Arial"/>
          <w:szCs w:val="20"/>
        </w:rPr>
      </w:pPr>
      <w:r w:rsidRPr="00FA72C5">
        <w:rPr>
          <w:rFonts w:ascii="Arial" w:hAnsi="Arial" w:cs="Arial"/>
          <w:szCs w:val="20"/>
        </w:rPr>
        <w:t>When the rule was operated with the 2018 CPUE of 0.90 kg/potlift, it resulted in an increased</w:t>
      </w:r>
      <w:r w:rsidR="00F969AA">
        <w:rPr>
          <w:rFonts w:ascii="Arial" w:hAnsi="Arial" w:cs="Arial"/>
          <w:szCs w:val="20"/>
        </w:rPr>
        <w:t xml:space="preserve"> TACC of 380 tonnes for the 2019/20</w:t>
      </w:r>
      <w:r w:rsidRPr="00FA72C5">
        <w:rPr>
          <w:rFonts w:ascii="Arial" w:hAnsi="Arial" w:cs="Arial"/>
          <w:szCs w:val="20"/>
        </w:rPr>
        <w:t xml:space="preserve"> fishing year (shown by the purple square on the graph).</w:t>
      </w:r>
    </w:p>
    <w:p w14:paraId="11849715" w14:textId="77777777" w:rsidR="00FA72C5" w:rsidRPr="00FA72C5" w:rsidRDefault="00FA72C5" w:rsidP="00F969AA">
      <w:pPr>
        <w:rPr>
          <w:rFonts w:ascii="Times New Roman" w:hAnsi="Times New Roman"/>
        </w:rPr>
      </w:pPr>
      <w:r>
        <w:rPr>
          <w:noProof/>
          <w:lang w:eastAsia="en-NZ"/>
        </w:rPr>
        <w:lastRenderedPageBreak/>
        <w:drawing>
          <wp:inline distT="0" distB="0" distL="0" distR="0" wp14:anchorId="18AF5532" wp14:editId="196430B0">
            <wp:extent cx="5731510" cy="34029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402965"/>
                    </a:xfrm>
                    <a:prstGeom prst="rect">
                      <a:avLst/>
                    </a:prstGeom>
                  </pic:spPr>
                </pic:pic>
              </a:graphicData>
            </a:graphic>
          </wp:inline>
        </w:drawing>
      </w:r>
    </w:p>
    <w:p w14:paraId="26A4BB3A" w14:textId="6E7B5324" w:rsidR="00FA72C5" w:rsidRPr="00C40261" w:rsidRDefault="00FA72C5" w:rsidP="00F969AA">
      <w:pPr>
        <w:spacing w:before="120"/>
        <w:contextualSpacing w:val="0"/>
        <w:rPr>
          <w:rFonts w:ascii="Arial" w:hAnsi="Arial" w:cs="Arial"/>
          <w:sz w:val="22"/>
          <w:szCs w:val="22"/>
        </w:rPr>
      </w:pPr>
      <w:r w:rsidRPr="00C40261">
        <w:rPr>
          <w:rFonts w:ascii="Arial Narrow" w:hAnsi="Arial Narrow" w:cs="Arial"/>
          <w:b/>
          <w:sz w:val="22"/>
          <w:szCs w:val="22"/>
        </w:rPr>
        <w:t xml:space="preserve">Figure </w:t>
      </w:r>
      <w:r w:rsidR="00756AD5">
        <w:rPr>
          <w:rFonts w:ascii="Arial Narrow" w:hAnsi="Arial Narrow" w:cs="Arial"/>
          <w:b/>
          <w:sz w:val="22"/>
          <w:szCs w:val="22"/>
        </w:rPr>
        <w:t>9</w:t>
      </w:r>
      <w:r w:rsidRPr="00C40261">
        <w:rPr>
          <w:rFonts w:ascii="Arial Narrow" w:hAnsi="Arial Narrow" w:cs="Arial"/>
          <w:b/>
          <w:sz w:val="22"/>
          <w:szCs w:val="22"/>
        </w:rPr>
        <w:t>: The current CRA 4 management procedure, showing the TACCs resulting from evaluations performed from 2016 to 2018 (shown as coloured shapes) for the 2016/17 to 2019/20 fishing years</w:t>
      </w:r>
      <w:r w:rsidRPr="00C40261">
        <w:rPr>
          <w:rFonts w:ascii="Arial" w:hAnsi="Arial" w:cs="Arial"/>
          <w:sz w:val="22"/>
          <w:szCs w:val="22"/>
        </w:rPr>
        <w:t>.</w:t>
      </w:r>
    </w:p>
    <w:p w14:paraId="0D322580" w14:textId="77777777" w:rsidR="00FA72C5" w:rsidRPr="00FA72C5" w:rsidRDefault="00FA72C5" w:rsidP="00FA72C5">
      <w:pPr>
        <w:keepNext/>
        <w:rPr>
          <w:rFonts w:ascii="Arial Narrow" w:hAnsi="Arial Narrow"/>
          <w:b/>
        </w:rPr>
      </w:pPr>
    </w:p>
    <w:p w14:paraId="01497459" w14:textId="77777777" w:rsidR="00943466" w:rsidRDefault="00943466" w:rsidP="00887A9E">
      <w:pPr>
        <w:pStyle w:val="Heading2"/>
        <w:spacing w:after="60"/>
      </w:pPr>
      <w:bookmarkStart w:id="84" w:name="_Toc469576742"/>
      <w:bookmarkStart w:id="85" w:name="_Toc500855033"/>
      <w:bookmarkStart w:id="86" w:name="_Toc501013885"/>
      <w:bookmarkStart w:id="87" w:name="_Toc501526384"/>
      <w:bookmarkStart w:id="88" w:name="_Toc501698632"/>
      <w:bookmarkStart w:id="89" w:name="_Toc503362779"/>
      <w:bookmarkStart w:id="90" w:name="_Toc531692796"/>
      <w:bookmarkStart w:id="91" w:name="_Toc532471893"/>
      <w:r>
        <w:t>Proposed CRA 4 Options</w:t>
      </w:r>
      <w:bookmarkEnd w:id="84"/>
      <w:bookmarkEnd w:id="85"/>
      <w:bookmarkEnd w:id="86"/>
      <w:bookmarkEnd w:id="87"/>
      <w:bookmarkEnd w:id="88"/>
      <w:bookmarkEnd w:id="89"/>
      <w:bookmarkEnd w:id="90"/>
      <w:bookmarkEnd w:id="91"/>
    </w:p>
    <w:p w14:paraId="7A012EC7" w14:textId="2CF3CD97" w:rsidR="00943466" w:rsidRPr="00C40261" w:rsidRDefault="00943466" w:rsidP="00FA72C5">
      <w:pPr>
        <w:pStyle w:val="ListParagraph"/>
        <w:keepNext/>
        <w:numPr>
          <w:ilvl w:val="0"/>
          <w:numId w:val="26"/>
        </w:numPr>
        <w:spacing w:after="0" w:line="240" w:lineRule="auto"/>
        <w:ind w:left="567" w:hanging="567"/>
        <w:jc w:val="left"/>
        <w:rPr>
          <w:rFonts w:ascii="Arial" w:hAnsi="Arial" w:cs="Arial"/>
          <w:szCs w:val="24"/>
        </w:rPr>
      </w:pPr>
      <w:r w:rsidRPr="00C40261">
        <w:rPr>
          <w:rFonts w:ascii="Arial" w:hAnsi="Arial" w:cs="Arial"/>
          <w:szCs w:val="24"/>
        </w:rPr>
        <w:t xml:space="preserve">Table </w:t>
      </w:r>
      <w:r w:rsidR="00756AD5">
        <w:rPr>
          <w:rFonts w:ascii="Arial" w:hAnsi="Arial" w:cs="Arial"/>
          <w:szCs w:val="24"/>
        </w:rPr>
        <w:t>5</w:t>
      </w:r>
      <w:r w:rsidRPr="00C40261">
        <w:rPr>
          <w:rFonts w:ascii="Arial" w:hAnsi="Arial" w:cs="Arial"/>
          <w:szCs w:val="24"/>
        </w:rPr>
        <w:t xml:space="preserve"> provides a summary of the options proposed for CRA 4. The current CRA 4 management procedure has been used to guide TAC setting options.</w:t>
      </w:r>
      <w:r w:rsidRPr="00C40261" w:rsidDel="00B71B44">
        <w:rPr>
          <w:rFonts w:ascii="Arial" w:hAnsi="Arial" w:cs="Arial"/>
          <w:szCs w:val="24"/>
        </w:rPr>
        <w:t xml:space="preserve"> </w:t>
      </w:r>
      <w:r w:rsidRPr="00C40261">
        <w:rPr>
          <w:rFonts w:ascii="Arial" w:hAnsi="Arial" w:cs="Arial"/>
          <w:szCs w:val="24"/>
        </w:rPr>
        <w:t>The proposals to increase the TAC and TACC will provide for increased utilisation opportunities and are expected to ensure that the stock moves towards its reference level.</w:t>
      </w:r>
    </w:p>
    <w:p w14:paraId="7E7A1E7A" w14:textId="77777777" w:rsidR="00C032FB" w:rsidRPr="00793EE3" w:rsidRDefault="00C032FB" w:rsidP="00943466">
      <w:pPr>
        <w:rPr>
          <w:rFonts w:ascii="Arial" w:hAnsi="Arial" w:cs="Arial"/>
          <w:sz w:val="22"/>
          <w:szCs w:val="22"/>
        </w:rPr>
      </w:pPr>
    </w:p>
    <w:p w14:paraId="5197C398" w14:textId="1E2D60ED" w:rsidR="00943466" w:rsidRPr="00853D93" w:rsidRDefault="00943466" w:rsidP="003C1C4A">
      <w:pPr>
        <w:pStyle w:val="TableMainTitle"/>
        <w:keepNext/>
        <w:spacing w:after="120"/>
        <w:rPr>
          <w:sz w:val="22"/>
        </w:rPr>
      </w:pPr>
      <w:r w:rsidRPr="000E51AE">
        <w:rPr>
          <w:sz w:val="22"/>
        </w:rPr>
        <w:t xml:space="preserve">Table </w:t>
      </w:r>
      <w:r w:rsidR="00756AD5">
        <w:rPr>
          <w:sz w:val="22"/>
        </w:rPr>
        <w:t>5</w:t>
      </w:r>
      <w:r w:rsidR="00F00A54">
        <w:rPr>
          <w:sz w:val="22"/>
        </w:rPr>
        <w:t>: Proposed T</w:t>
      </w:r>
      <w:r w:rsidR="003C1C4A">
        <w:rPr>
          <w:sz w:val="22"/>
        </w:rPr>
        <w:t>AC, allowance and TACC options</w:t>
      </w:r>
      <w:r w:rsidRPr="000E51AE">
        <w:rPr>
          <w:sz w:val="22"/>
        </w:rPr>
        <w:t xml:space="preserve"> (in tonnes) for</w:t>
      </w:r>
      <w:r w:rsidR="00592002" w:rsidRPr="00F1422F">
        <w:rPr>
          <w:sz w:val="22"/>
        </w:rPr>
        <w:t xml:space="preserve"> CRA 4 from 1 April 2019</w:t>
      </w:r>
      <w:r w:rsidRPr="00853D93">
        <w:rPr>
          <w:sz w:val="22"/>
        </w:rPr>
        <w:t>.</w:t>
      </w:r>
    </w:p>
    <w:tbl>
      <w:tblPr>
        <w:tblpPr w:leftFromText="180" w:rightFromText="180" w:vertAnchor="text" w:horzAnchor="margin" w:tblpX="-142" w:tblpY="96"/>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558"/>
        <w:gridCol w:w="1560"/>
        <w:gridCol w:w="1136"/>
        <w:gridCol w:w="1275"/>
        <w:gridCol w:w="1274"/>
      </w:tblGrid>
      <w:tr w:rsidR="00E21F5D" w:rsidRPr="005A515B" w14:paraId="782C081D" w14:textId="77777777" w:rsidTr="00E21F5D">
        <w:trPr>
          <w:trHeight w:val="274"/>
        </w:trPr>
        <w:tc>
          <w:tcPr>
            <w:tcW w:w="1250" w:type="pct"/>
            <w:vMerge w:val="restart"/>
            <w:tcBorders>
              <w:left w:val="nil"/>
              <w:right w:val="nil"/>
            </w:tcBorders>
            <w:vAlign w:val="center"/>
          </w:tcPr>
          <w:p w14:paraId="614787E0" w14:textId="77777777" w:rsidR="00E21F5D" w:rsidRPr="005A515B" w:rsidRDefault="00E21F5D" w:rsidP="00C40261">
            <w:pPr>
              <w:keepNext/>
              <w:spacing w:before="40" w:after="40"/>
              <w:contextualSpacing w:val="0"/>
              <w:jc w:val="center"/>
              <w:rPr>
                <w:rFonts w:ascii="Arial Narrow" w:hAnsi="Arial Narrow"/>
                <w:b/>
                <w:sz w:val="20"/>
              </w:rPr>
            </w:pPr>
            <w:r w:rsidRPr="005A515B">
              <w:rPr>
                <w:rFonts w:ascii="Arial Narrow" w:hAnsi="Arial Narrow"/>
                <w:b/>
                <w:sz w:val="20"/>
              </w:rPr>
              <w:t>Option</w:t>
            </w:r>
          </w:p>
        </w:tc>
        <w:tc>
          <w:tcPr>
            <w:tcW w:w="1719" w:type="pct"/>
            <w:gridSpan w:val="2"/>
            <w:tcBorders>
              <w:left w:val="nil"/>
              <w:bottom w:val="nil"/>
              <w:right w:val="nil"/>
            </w:tcBorders>
            <w:vAlign w:val="center"/>
          </w:tcPr>
          <w:p w14:paraId="10348B6C" w14:textId="77777777" w:rsidR="00E21F5D" w:rsidRPr="005A515B" w:rsidRDefault="00E21F5D" w:rsidP="00C40261">
            <w:pPr>
              <w:keepNext/>
              <w:spacing w:before="40" w:after="40"/>
              <w:contextualSpacing w:val="0"/>
              <w:jc w:val="center"/>
              <w:rPr>
                <w:rFonts w:ascii="Arial Narrow" w:hAnsi="Arial Narrow"/>
                <w:b/>
                <w:sz w:val="20"/>
              </w:rPr>
            </w:pPr>
          </w:p>
        </w:tc>
        <w:tc>
          <w:tcPr>
            <w:tcW w:w="2031" w:type="pct"/>
            <w:gridSpan w:val="3"/>
            <w:tcBorders>
              <w:left w:val="nil"/>
              <w:bottom w:val="single" w:sz="4" w:space="0" w:color="auto"/>
              <w:right w:val="nil"/>
            </w:tcBorders>
            <w:vAlign w:val="center"/>
          </w:tcPr>
          <w:p w14:paraId="4AD5690E" w14:textId="77777777" w:rsidR="00E21F5D" w:rsidRPr="005A515B" w:rsidRDefault="00E21F5D" w:rsidP="00C40261">
            <w:pPr>
              <w:keepNext/>
              <w:spacing w:before="40" w:after="40"/>
              <w:contextualSpacing w:val="0"/>
              <w:jc w:val="center"/>
              <w:rPr>
                <w:rFonts w:ascii="Arial Narrow" w:hAnsi="Arial Narrow"/>
                <w:b/>
                <w:sz w:val="20"/>
              </w:rPr>
            </w:pPr>
            <w:r>
              <w:rPr>
                <w:rFonts w:ascii="Arial Narrow" w:hAnsi="Arial Narrow"/>
                <w:b/>
                <w:sz w:val="20"/>
              </w:rPr>
              <w:t>Allowances</w:t>
            </w:r>
          </w:p>
        </w:tc>
      </w:tr>
      <w:tr w:rsidR="00E21F5D" w:rsidRPr="005A515B" w14:paraId="20DE214A" w14:textId="77777777" w:rsidTr="00E21F5D">
        <w:trPr>
          <w:trHeight w:val="20"/>
        </w:trPr>
        <w:tc>
          <w:tcPr>
            <w:tcW w:w="1250" w:type="pct"/>
            <w:vMerge/>
            <w:tcBorders>
              <w:left w:val="nil"/>
              <w:bottom w:val="single" w:sz="4" w:space="0" w:color="auto"/>
              <w:right w:val="nil"/>
            </w:tcBorders>
            <w:vAlign w:val="center"/>
          </w:tcPr>
          <w:p w14:paraId="54E7081A" w14:textId="77777777" w:rsidR="00E21F5D" w:rsidRPr="005A515B" w:rsidRDefault="00E21F5D" w:rsidP="00C40261">
            <w:pPr>
              <w:keepNext/>
              <w:spacing w:before="40" w:after="40"/>
              <w:contextualSpacing w:val="0"/>
              <w:jc w:val="center"/>
              <w:rPr>
                <w:rFonts w:ascii="Arial Narrow" w:hAnsi="Arial Narrow"/>
                <w:b/>
                <w:sz w:val="20"/>
              </w:rPr>
            </w:pPr>
          </w:p>
        </w:tc>
        <w:tc>
          <w:tcPr>
            <w:tcW w:w="859" w:type="pct"/>
            <w:tcBorders>
              <w:top w:val="nil"/>
              <w:left w:val="nil"/>
              <w:bottom w:val="single" w:sz="4" w:space="0" w:color="auto"/>
              <w:right w:val="nil"/>
            </w:tcBorders>
            <w:vAlign w:val="center"/>
          </w:tcPr>
          <w:p w14:paraId="3E2EA051" w14:textId="77777777" w:rsidR="00E21F5D" w:rsidRPr="005A515B" w:rsidRDefault="00E21F5D" w:rsidP="00C40261">
            <w:pPr>
              <w:keepNext/>
              <w:spacing w:before="40" w:after="40"/>
              <w:contextualSpacing w:val="0"/>
              <w:jc w:val="center"/>
              <w:rPr>
                <w:rFonts w:ascii="Arial Narrow" w:hAnsi="Arial Narrow"/>
                <w:b/>
                <w:sz w:val="20"/>
              </w:rPr>
            </w:pPr>
            <w:r w:rsidRPr="005A515B">
              <w:rPr>
                <w:rFonts w:ascii="Arial Narrow" w:hAnsi="Arial Narrow"/>
                <w:b/>
                <w:sz w:val="20"/>
              </w:rPr>
              <w:t>TAC</w:t>
            </w:r>
          </w:p>
        </w:tc>
        <w:tc>
          <w:tcPr>
            <w:tcW w:w="860" w:type="pct"/>
            <w:tcBorders>
              <w:top w:val="nil"/>
              <w:left w:val="nil"/>
              <w:bottom w:val="single" w:sz="4" w:space="0" w:color="auto"/>
              <w:right w:val="nil"/>
            </w:tcBorders>
            <w:vAlign w:val="center"/>
          </w:tcPr>
          <w:p w14:paraId="1DC91939" w14:textId="77777777" w:rsidR="00E21F5D" w:rsidRPr="005A515B" w:rsidRDefault="00E21F5D" w:rsidP="00C40261">
            <w:pPr>
              <w:keepNext/>
              <w:spacing w:before="40" w:after="40"/>
              <w:contextualSpacing w:val="0"/>
              <w:jc w:val="center"/>
              <w:rPr>
                <w:rFonts w:ascii="Arial Narrow" w:hAnsi="Arial Narrow"/>
                <w:b/>
                <w:sz w:val="20"/>
              </w:rPr>
            </w:pPr>
            <w:r w:rsidRPr="005A515B">
              <w:rPr>
                <w:rFonts w:ascii="Arial Narrow" w:hAnsi="Arial Narrow"/>
                <w:b/>
                <w:sz w:val="20"/>
              </w:rPr>
              <w:t>TACC</w:t>
            </w:r>
          </w:p>
        </w:tc>
        <w:tc>
          <w:tcPr>
            <w:tcW w:w="626" w:type="pct"/>
            <w:tcBorders>
              <w:top w:val="single" w:sz="4" w:space="0" w:color="auto"/>
              <w:left w:val="nil"/>
              <w:bottom w:val="single" w:sz="4" w:space="0" w:color="auto"/>
              <w:right w:val="nil"/>
            </w:tcBorders>
            <w:vAlign w:val="center"/>
          </w:tcPr>
          <w:p w14:paraId="46D9525C" w14:textId="77777777" w:rsidR="00E21F5D" w:rsidRPr="005A515B" w:rsidRDefault="00E21F5D" w:rsidP="00C40261">
            <w:pPr>
              <w:keepNext/>
              <w:spacing w:before="40" w:after="40"/>
              <w:contextualSpacing w:val="0"/>
              <w:jc w:val="center"/>
              <w:rPr>
                <w:rFonts w:ascii="Arial Narrow" w:hAnsi="Arial Narrow"/>
                <w:b/>
                <w:sz w:val="20"/>
              </w:rPr>
            </w:pPr>
            <w:r w:rsidRPr="005A515B">
              <w:rPr>
                <w:rFonts w:ascii="Arial Narrow" w:hAnsi="Arial Narrow"/>
                <w:b/>
                <w:sz w:val="20"/>
              </w:rPr>
              <w:t>Customary Māori</w:t>
            </w:r>
          </w:p>
        </w:tc>
        <w:tc>
          <w:tcPr>
            <w:tcW w:w="703" w:type="pct"/>
            <w:tcBorders>
              <w:top w:val="single" w:sz="4" w:space="0" w:color="auto"/>
              <w:left w:val="nil"/>
              <w:bottom w:val="single" w:sz="4" w:space="0" w:color="auto"/>
              <w:right w:val="nil"/>
            </w:tcBorders>
            <w:vAlign w:val="center"/>
          </w:tcPr>
          <w:p w14:paraId="1A39652C" w14:textId="77777777" w:rsidR="00E21F5D" w:rsidRPr="005A515B" w:rsidRDefault="00E21F5D" w:rsidP="00C40261">
            <w:pPr>
              <w:keepNext/>
              <w:spacing w:before="40" w:after="40"/>
              <w:contextualSpacing w:val="0"/>
              <w:jc w:val="center"/>
              <w:rPr>
                <w:rFonts w:ascii="Arial Narrow" w:hAnsi="Arial Narrow"/>
                <w:b/>
                <w:sz w:val="20"/>
              </w:rPr>
            </w:pPr>
            <w:r w:rsidRPr="005A515B">
              <w:rPr>
                <w:rFonts w:ascii="Arial Narrow" w:hAnsi="Arial Narrow"/>
                <w:b/>
                <w:sz w:val="20"/>
              </w:rPr>
              <w:t>Recreational</w:t>
            </w:r>
          </w:p>
        </w:tc>
        <w:tc>
          <w:tcPr>
            <w:tcW w:w="703" w:type="pct"/>
            <w:tcBorders>
              <w:top w:val="single" w:sz="4" w:space="0" w:color="auto"/>
              <w:left w:val="nil"/>
              <w:bottom w:val="single" w:sz="4" w:space="0" w:color="auto"/>
              <w:right w:val="nil"/>
            </w:tcBorders>
            <w:vAlign w:val="center"/>
          </w:tcPr>
          <w:p w14:paraId="26EB02FB" w14:textId="77777777" w:rsidR="00E21F5D" w:rsidRPr="005A515B" w:rsidRDefault="00E21F5D" w:rsidP="00C40261">
            <w:pPr>
              <w:keepNext/>
              <w:spacing w:before="40" w:after="40"/>
              <w:contextualSpacing w:val="0"/>
              <w:jc w:val="center"/>
              <w:rPr>
                <w:rFonts w:ascii="Arial Narrow" w:hAnsi="Arial Narrow"/>
                <w:b/>
                <w:sz w:val="20"/>
              </w:rPr>
            </w:pPr>
            <w:r w:rsidRPr="005A515B">
              <w:rPr>
                <w:rFonts w:ascii="Arial Narrow" w:hAnsi="Arial Narrow"/>
                <w:b/>
                <w:sz w:val="20"/>
              </w:rPr>
              <w:t>Other mortality</w:t>
            </w:r>
          </w:p>
        </w:tc>
      </w:tr>
      <w:tr w:rsidR="00E21F5D" w:rsidRPr="005A515B" w14:paraId="5C66C751" w14:textId="77777777" w:rsidTr="00E21F5D">
        <w:trPr>
          <w:trHeight w:val="408"/>
        </w:trPr>
        <w:tc>
          <w:tcPr>
            <w:tcW w:w="1250" w:type="pct"/>
            <w:tcBorders>
              <w:top w:val="single" w:sz="4" w:space="0" w:color="auto"/>
              <w:left w:val="nil"/>
              <w:bottom w:val="nil"/>
              <w:right w:val="nil"/>
            </w:tcBorders>
            <w:vAlign w:val="center"/>
          </w:tcPr>
          <w:p w14:paraId="730C0AA7" w14:textId="77777777" w:rsidR="00E21F5D" w:rsidRPr="00B05741" w:rsidRDefault="00E21F5D" w:rsidP="00C40261">
            <w:pPr>
              <w:keepNext/>
              <w:spacing w:before="40" w:after="40"/>
              <w:contextualSpacing w:val="0"/>
              <w:rPr>
                <w:rFonts w:ascii="Arial Narrow" w:hAnsi="Arial Narrow"/>
                <w:b/>
                <w:sz w:val="20"/>
              </w:rPr>
            </w:pPr>
            <w:r>
              <w:rPr>
                <w:rFonts w:ascii="Arial Narrow" w:hAnsi="Arial Narrow"/>
                <w:b/>
                <w:sz w:val="20"/>
              </w:rPr>
              <w:t>CRA4</w:t>
            </w:r>
            <w:r w:rsidRPr="00B05741">
              <w:rPr>
                <w:rFonts w:ascii="Arial Narrow" w:hAnsi="Arial Narrow"/>
                <w:b/>
                <w:sz w:val="20"/>
              </w:rPr>
              <w:t>_0</w:t>
            </w:r>
            <w:r>
              <w:rPr>
                <w:rFonts w:ascii="Arial Narrow" w:hAnsi="Arial Narrow"/>
                <w:b/>
                <w:sz w:val="20"/>
              </w:rPr>
              <w:t xml:space="preserve">1: </w:t>
            </w:r>
            <w:r>
              <w:rPr>
                <w:rFonts w:ascii="Arial Narrow" w:hAnsi="Arial Narrow"/>
                <w:i/>
                <w:sz w:val="20"/>
              </w:rPr>
              <w:t>S</w:t>
            </w:r>
            <w:r w:rsidRPr="007F35E0">
              <w:rPr>
                <w:rFonts w:ascii="Arial Narrow" w:hAnsi="Arial Narrow"/>
                <w:i/>
                <w:sz w:val="20"/>
              </w:rPr>
              <w:t>tatus quo</w:t>
            </w:r>
          </w:p>
        </w:tc>
        <w:tc>
          <w:tcPr>
            <w:tcW w:w="859" w:type="pct"/>
            <w:tcBorders>
              <w:top w:val="single" w:sz="4" w:space="0" w:color="auto"/>
              <w:left w:val="nil"/>
              <w:bottom w:val="nil"/>
              <w:right w:val="nil"/>
            </w:tcBorders>
            <w:vAlign w:val="center"/>
          </w:tcPr>
          <w:p w14:paraId="3001982A" w14:textId="77777777" w:rsidR="00E21F5D" w:rsidRDefault="00E21F5D" w:rsidP="00C40261">
            <w:pPr>
              <w:keepNext/>
              <w:spacing w:before="40" w:after="40"/>
              <w:contextualSpacing w:val="0"/>
              <w:jc w:val="center"/>
              <w:rPr>
                <w:rFonts w:ascii="Arial Narrow" w:hAnsi="Arial Narrow"/>
                <w:sz w:val="20"/>
              </w:rPr>
            </w:pPr>
            <w:r>
              <w:rPr>
                <w:rFonts w:ascii="Arial Narrow" w:hAnsi="Arial Narrow"/>
                <w:sz w:val="20"/>
              </w:rPr>
              <w:t>513.8</w:t>
            </w:r>
          </w:p>
        </w:tc>
        <w:tc>
          <w:tcPr>
            <w:tcW w:w="860" w:type="pct"/>
            <w:tcBorders>
              <w:top w:val="single" w:sz="4" w:space="0" w:color="auto"/>
              <w:left w:val="nil"/>
              <w:bottom w:val="nil"/>
              <w:right w:val="nil"/>
            </w:tcBorders>
            <w:vAlign w:val="center"/>
          </w:tcPr>
          <w:p w14:paraId="48374186" w14:textId="77777777" w:rsidR="00E21F5D" w:rsidRDefault="00E21F5D" w:rsidP="00C40261">
            <w:pPr>
              <w:keepNext/>
              <w:spacing w:before="40" w:after="40"/>
              <w:contextualSpacing w:val="0"/>
              <w:jc w:val="center"/>
              <w:rPr>
                <w:rFonts w:ascii="Arial Narrow" w:hAnsi="Arial Narrow"/>
                <w:sz w:val="20"/>
              </w:rPr>
            </w:pPr>
            <w:r>
              <w:rPr>
                <w:rFonts w:ascii="Arial Narrow" w:hAnsi="Arial Narrow"/>
                <w:sz w:val="20"/>
              </w:rPr>
              <w:t>318.8</w:t>
            </w:r>
          </w:p>
        </w:tc>
        <w:tc>
          <w:tcPr>
            <w:tcW w:w="626" w:type="pct"/>
            <w:vMerge w:val="restart"/>
            <w:tcBorders>
              <w:top w:val="single" w:sz="4" w:space="0" w:color="auto"/>
              <w:left w:val="nil"/>
              <w:right w:val="nil"/>
            </w:tcBorders>
            <w:vAlign w:val="center"/>
          </w:tcPr>
          <w:p w14:paraId="0AD98959" w14:textId="77777777" w:rsidR="00E21F5D" w:rsidRDefault="00E21F5D" w:rsidP="00C40261">
            <w:pPr>
              <w:keepNext/>
              <w:spacing w:before="40" w:after="40"/>
              <w:contextualSpacing w:val="0"/>
              <w:jc w:val="center"/>
              <w:rPr>
                <w:rFonts w:ascii="Arial Narrow" w:hAnsi="Arial Narrow"/>
                <w:sz w:val="20"/>
              </w:rPr>
            </w:pPr>
            <w:r>
              <w:rPr>
                <w:rFonts w:ascii="Arial Narrow" w:hAnsi="Arial Narrow"/>
                <w:sz w:val="20"/>
              </w:rPr>
              <w:t>35</w:t>
            </w:r>
          </w:p>
        </w:tc>
        <w:tc>
          <w:tcPr>
            <w:tcW w:w="703" w:type="pct"/>
            <w:vMerge w:val="restart"/>
            <w:tcBorders>
              <w:top w:val="single" w:sz="4" w:space="0" w:color="auto"/>
              <w:left w:val="nil"/>
              <w:right w:val="nil"/>
            </w:tcBorders>
            <w:vAlign w:val="center"/>
          </w:tcPr>
          <w:p w14:paraId="5676E2BD" w14:textId="77777777" w:rsidR="00E21F5D" w:rsidRDefault="00E21F5D" w:rsidP="00C40261">
            <w:pPr>
              <w:keepNext/>
              <w:spacing w:before="40" w:after="40"/>
              <w:contextualSpacing w:val="0"/>
              <w:jc w:val="center"/>
              <w:rPr>
                <w:rFonts w:ascii="Arial Narrow" w:hAnsi="Arial Narrow"/>
                <w:sz w:val="20"/>
              </w:rPr>
            </w:pPr>
            <w:r>
              <w:rPr>
                <w:rFonts w:ascii="Arial Narrow" w:hAnsi="Arial Narrow"/>
                <w:sz w:val="20"/>
              </w:rPr>
              <w:t>85</w:t>
            </w:r>
          </w:p>
        </w:tc>
        <w:tc>
          <w:tcPr>
            <w:tcW w:w="703" w:type="pct"/>
            <w:tcBorders>
              <w:top w:val="single" w:sz="4" w:space="0" w:color="auto"/>
              <w:left w:val="nil"/>
              <w:bottom w:val="nil"/>
              <w:right w:val="nil"/>
            </w:tcBorders>
            <w:vAlign w:val="center"/>
          </w:tcPr>
          <w:p w14:paraId="29E54A79" w14:textId="77777777" w:rsidR="00E21F5D" w:rsidRDefault="00E21F5D" w:rsidP="00C40261">
            <w:pPr>
              <w:keepNext/>
              <w:spacing w:before="40" w:after="40"/>
              <w:contextualSpacing w:val="0"/>
              <w:jc w:val="center"/>
              <w:rPr>
                <w:rFonts w:ascii="Arial Narrow" w:hAnsi="Arial Narrow"/>
                <w:sz w:val="20"/>
              </w:rPr>
            </w:pPr>
            <w:r>
              <w:rPr>
                <w:rFonts w:ascii="Arial Narrow" w:hAnsi="Arial Narrow"/>
                <w:sz w:val="20"/>
              </w:rPr>
              <w:t>75</w:t>
            </w:r>
          </w:p>
        </w:tc>
      </w:tr>
      <w:tr w:rsidR="00E21F5D" w:rsidRPr="005A515B" w14:paraId="1FC655B7" w14:textId="77777777" w:rsidTr="00E21F5D">
        <w:trPr>
          <w:trHeight w:val="408"/>
        </w:trPr>
        <w:tc>
          <w:tcPr>
            <w:tcW w:w="1250" w:type="pct"/>
            <w:tcBorders>
              <w:top w:val="nil"/>
              <w:left w:val="nil"/>
              <w:bottom w:val="single" w:sz="4" w:space="0" w:color="auto"/>
              <w:right w:val="nil"/>
            </w:tcBorders>
            <w:vAlign w:val="center"/>
          </w:tcPr>
          <w:p w14:paraId="110836DA" w14:textId="77777777" w:rsidR="00E21F5D" w:rsidRPr="00B05741" w:rsidRDefault="00E21F5D" w:rsidP="00C40261">
            <w:pPr>
              <w:keepNext/>
              <w:spacing w:before="40" w:after="40"/>
              <w:contextualSpacing w:val="0"/>
              <w:rPr>
                <w:rFonts w:ascii="Arial Narrow" w:hAnsi="Arial Narrow"/>
                <w:b/>
                <w:sz w:val="20"/>
              </w:rPr>
            </w:pPr>
            <w:r w:rsidRPr="00B05741">
              <w:rPr>
                <w:rFonts w:ascii="Arial Narrow" w:hAnsi="Arial Narrow"/>
                <w:b/>
                <w:sz w:val="20"/>
              </w:rPr>
              <w:t>C</w:t>
            </w:r>
            <w:r>
              <w:rPr>
                <w:rFonts w:ascii="Arial Narrow" w:hAnsi="Arial Narrow"/>
                <w:b/>
                <w:sz w:val="20"/>
              </w:rPr>
              <w:t xml:space="preserve">RA4_02: </w:t>
            </w:r>
            <w:r>
              <w:rPr>
                <w:rFonts w:ascii="Arial Narrow" w:hAnsi="Arial Narrow"/>
                <w:sz w:val="20"/>
              </w:rPr>
              <w:t>Based on the operation</w:t>
            </w:r>
            <w:r w:rsidRPr="000945E5">
              <w:rPr>
                <w:rFonts w:ascii="Arial Narrow" w:hAnsi="Arial Narrow"/>
                <w:sz w:val="20"/>
              </w:rPr>
              <w:t xml:space="preserve"> </w:t>
            </w:r>
            <w:r>
              <w:rPr>
                <w:rFonts w:ascii="Arial Narrow" w:hAnsi="Arial Narrow"/>
                <w:sz w:val="20"/>
              </w:rPr>
              <w:t xml:space="preserve">of the </w:t>
            </w:r>
            <w:r w:rsidRPr="000945E5">
              <w:rPr>
                <w:rFonts w:ascii="Arial Narrow" w:hAnsi="Arial Narrow"/>
                <w:sz w:val="20"/>
              </w:rPr>
              <w:t xml:space="preserve">CRA </w:t>
            </w:r>
            <w:r>
              <w:rPr>
                <w:rFonts w:ascii="Arial Narrow" w:hAnsi="Arial Narrow"/>
                <w:sz w:val="20"/>
              </w:rPr>
              <w:t>4 management procedure</w:t>
            </w:r>
          </w:p>
        </w:tc>
        <w:tc>
          <w:tcPr>
            <w:tcW w:w="859" w:type="pct"/>
            <w:tcBorders>
              <w:top w:val="nil"/>
              <w:left w:val="nil"/>
              <w:bottom w:val="single" w:sz="4" w:space="0" w:color="auto"/>
              <w:right w:val="nil"/>
            </w:tcBorders>
            <w:vAlign w:val="center"/>
          </w:tcPr>
          <w:p w14:paraId="032CF3D5" w14:textId="693CDD62" w:rsidR="00E21F5D" w:rsidRPr="00B05741" w:rsidRDefault="00E21F5D" w:rsidP="00C40261">
            <w:pPr>
              <w:keepNext/>
              <w:spacing w:before="40" w:after="40"/>
              <w:contextualSpacing w:val="0"/>
              <w:jc w:val="center"/>
              <w:rPr>
                <w:rFonts w:ascii="Arial Narrow" w:hAnsi="Arial Narrow"/>
                <w:sz w:val="20"/>
              </w:rPr>
            </w:pPr>
            <w:r>
              <w:rPr>
                <w:rFonts w:ascii="Arial Narrow" w:hAnsi="Arial Narrow"/>
                <w:sz w:val="20"/>
              </w:rPr>
              <w:t>55</w:t>
            </w:r>
            <w:r w:rsidR="002B71FA">
              <w:rPr>
                <w:rFonts w:ascii="Arial Narrow" w:hAnsi="Arial Narrow"/>
                <w:sz w:val="20"/>
              </w:rPr>
              <w:t>8</w:t>
            </w:r>
            <w:r w:rsidRPr="00B05741">
              <w:rPr>
                <w:rFonts w:ascii="Arial Narrow" w:hAnsi="Arial Narrow"/>
                <w:sz w:val="20"/>
              </w:rPr>
              <w:t xml:space="preserve"> </w:t>
            </w:r>
            <w:r w:rsidRPr="00C72520">
              <w:rPr>
                <w:rFonts w:ascii="Arial Narrow" w:hAnsi="Arial Narrow"/>
                <w:b/>
                <w:color w:val="00B050"/>
                <w:sz w:val="20"/>
              </w:rPr>
              <w:sym w:font="Wingdings" w:char="F0E1"/>
            </w:r>
            <w:r w:rsidRPr="00AB5AC9">
              <w:rPr>
                <w:rFonts w:ascii="Arial Narrow" w:hAnsi="Arial Narrow"/>
                <w:sz w:val="20"/>
              </w:rPr>
              <w:t xml:space="preserve"> (</w:t>
            </w:r>
            <w:r w:rsidR="002B71FA">
              <w:rPr>
                <w:rFonts w:ascii="Arial Narrow" w:hAnsi="Arial Narrow"/>
                <w:sz w:val="20"/>
              </w:rPr>
              <w:t>8</w:t>
            </w:r>
            <w:r w:rsidRPr="00AB5AC9">
              <w:rPr>
                <w:rFonts w:ascii="Arial Narrow" w:hAnsi="Arial Narrow"/>
                <w:sz w:val="20"/>
              </w:rPr>
              <w:t>.6%)</w:t>
            </w:r>
          </w:p>
        </w:tc>
        <w:tc>
          <w:tcPr>
            <w:tcW w:w="860" w:type="pct"/>
            <w:tcBorders>
              <w:top w:val="nil"/>
              <w:left w:val="nil"/>
              <w:bottom w:val="single" w:sz="4" w:space="0" w:color="auto"/>
              <w:right w:val="nil"/>
            </w:tcBorders>
            <w:vAlign w:val="center"/>
          </w:tcPr>
          <w:p w14:paraId="6E92F36A" w14:textId="77777777" w:rsidR="00E21F5D" w:rsidRPr="00B05741" w:rsidRDefault="00E21F5D" w:rsidP="00C40261">
            <w:pPr>
              <w:keepNext/>
              <w:spacing w:before="40" w:after="40"/>
              <w:contextualSpacing w:val="0"/>
              <w:jc w:val="center"/>
              <w:rPr>
                <w:rFonts w:ascii="Arial Narrow" w:hAnsi="Arial Narrow"/>
                <w:sz w:val="20"/>
              </w:rPr>
            </w:pPr>
            <w:r>
              <w:rPr>
                <w:rFonts w:ascii="Arial Narrow" w:hAnsi="Arial Narrow"/>
                <w:sz w:val="20"/>
              </w:rPr>
              <w:t>380</w:t>
            </w:r>
            <w:r w:rsidRPr="00B05741">
              <w:rPr>
                <w:rFonts w:ascii="Arial Narrow" w:hAnsi="Arial Narrow"/>
                <w:sz w:val="20"/>
              </w:rPr>
              <w:t xml:space="preserve"> </w:t>
            </w:r>
            <w:r w:rsidRPr="00C72520">
              <w:rPr>
                <w:rFonts w:ascii="Arial Narrow" w:hAnsi="Arial Narrow"/>
                <w:b/>
                <w:color w:val="00B050"/>
                <w:sz w:val="20"/>
              </w:rPr>
              <w:sym w:font="Wingdings" w:char="F0E1"/>
            </w:r>
            <w:r w:rsidRPr="00AB5AC9">
              <w:rPr>
                <w:rFonts w:ascii="Arial Narrow" w:hAnsi="Arial Narrow"/>
                <w:sz w:val="20"/>
              </w:rPr>
              <w:t xml:space="preserve"> (19.2%)</w:t>
            </w:r>
          </w:p>
        </w:tc>
        <w:tc>
          <w:tcPr>
            <w:tcW w:w="626" w:type="pct"/>
            <w:vMerge/>
            <w:tcBorders>
              <w:left w:val="nil"/>
              <w:bottom w:val="single" w:sz="4" w:space="0" w:color="auto"/>
              <w:right w:val="nil"/>
            </w:tcBorders>
            <w:vAlign w:val="center"/>
          </w:tcPr>
          <w:p w14:paraId="16911CD4" w14:textId="77777777" w:rsidR="00E21F5D" w:rsidRPr="005A515B" w:rsidRDefault="00E21F5D" w:rsidP="00C40261">
            <w:pPr>
              <w:keepNext/>
              <w:spacing w:before="40" w:after="40"/>
              <w:contextualSpacing w:val="0"/>
              <w:rPr>
                <w:rFonts w:ascii="Arial Narrow" w:hAnsi="Arial Narrow"/>
                <w:sz w:val="20"/>
              </w:rPr>
            </w:pPr>
          </w:p>
        </w:tc>
        <w:tc>
          <w:tcPr>
            <w:tcW w:w="703" w:type="pct"/>
            <w:vMerge/>
            <w:tcBorders>
              <w:left w:val="nil"/>
              <w:bottom w:val="single" w:sz="4" w:space="0" w:color="auto"/>
              <w:right w:val="nil"/>
            </w:tcBorders>
            <w:vAlign w:val="center"/>
          </w:tcPr>
          <w:p w14:paraId="580BAA09" w14:textId="77777777" w:rsidR="00E21F5D" w:rsidRPr="005A515B" w:rsidRDefault="00E21F5D" w:rsidP="00C40261">
            <w:pPr>
              <w:keepNext/>
              <w:spacing w:before="40" w:after="40"/>
              <w:contextualSpacing w:val="0"/>
              <w:rPr>
                <w:rFonts w:ascii="Arial Narrow" w:hAnsi="Arial Narrow"/>
                <w:sz w:val="20"/>
              </w:rPr>
            </w:pPr>
          </w:p>
        </w:tc>
        <w:tc>
          <w:tcPr>
            <w:tcW w:w="703" w:type="pct"/>
            <w:tcBorders>
              <w:top w:val="nil"/>
              <w:left w:val="nil"/>
              <w:bottom w:val="single" w:sz="4" w:space="0" w:color="auto"/>
              <w:right w:val="nil"/>
            </w:tcBorders>
            <w:vAlign w:val="center"/>
          </w:tcPr>
          <w:p w14:paraId="5286FDE0" w14:textId="69FF4CE3" w:rsidR="00E21F5D" w:rsidRPr="005A515B" w:rsidRDefault="002B71FA" w:rsidP="00C40261">
            <w:pPr>
              <w:keepNext/>
              <w:spacing w:before="40" w:after="40"/>
              <w:contextualSpacing w:val="0"/>
              <w:rPr>
                <w:rFonts w:ascii="Arial Narrow" w:hAnsi="Arial Narrow"/>
                <w:sz w:val="20"/>
              </w:rPr>
            </w:pPr>
            <w:r>
              <w:rPr>
                <w:rFonts w:ascii="Arial Narrow" w:hAnsi="Arial Narrow"/>
                <w:sz w:val="20"/>
              </w:rPr>
              <w:t>58</w:t>
            </w:r>
            <w:r w:rsidR="00E21F5D">
              <w:rPr>
                <w:rFonts w:ascii="Arial Narrow" w:hAnsi="Arial Narrow"/>
                <w:sz w:val="20"/>
              </w:rPr>
              <w:t xml:space="preserve"> </w:t>
            </w:r>
            <w:r w:rsidR="00E21F5D" w:rsidRPr="00C72520">
              <w:rPr>
                <w:rFonts w:ascii="Arial Narrow" w:hAnsi="Arial Narrow"/>
                <w:b/>
                <w:color w:val="FF0000"/>
                <w:sz w:val="20"/>
              </w:rPr>
              <w:sym w:font="Wingdings" w:char="F0E2"/>
            </w:r>
            <w:r w:rsidR="00E21F5D">
              <w:rPr>
                <w:rFonts w:ascii="Arial Narrow" w:hAnsi="Arial Narrow"/>
                <w:sz w:val="20"/>
              </w:rPr>
              <w:t xml:space="preserve"> (</w:t>
            </w:r>
            <w:r>
              <w:rPr>
                <w:rFonts w:ascii="Arial Narrow" w:hAnsi="Arial Narrow"/>
                <w:sz w:val="20"/>
              </w:rPr>
              <w:t>22.7</w:t>
            </w:r>
            <w:r w:rsidR="00E21F5D" w:rsidRPr="00FD2ACE">
              <w:rPr>
                <w:rFonts w:ascii="Arial Narrow" w:hAnsi="Arial Narrow"/>
                <w:sz w:val="20"/>
              </w:rPr>
              <w:t>%)</w:t>
            </w:r>
          </w:p>
        </w:tc>
      </w:tr>
    </w:tbl>
    <w:p w14:paraId="7BFC5D8E" w14:textId="77777777" w:rsidR="00943466" w:rsidRPr="00887A9E" w:rsidRDefault="00943466" w:rsidP="00943466">
      <w:pPr>
        <w:rPr>
          <w:rFonts w:ascii="Arial" w:hAnsi="Arial" w:cs="Arial"/>
          <w:sz w:val="22"/>
          <w:szCs w:val="22"/>
        </w:rPr>
      </w:pPr>
    </w:p>
    <w:p w14:paraId="1B9E0C5F" w14:textId="497CD8AA" w:rsidR="00943466" w:rsidRPr="00855B52" w:rsidRDefault="00FA72C5" w:rsidP="00934235">
      <w:pPr>
        <w:pStyle w:val="Heading3"/>
        <w:ind w:left="567" w:hanging="567"/>
      </w:pPr>
      <w:r>
        <w:t>Total Allowable Catch</w:t>
      </w:r>
    </w:p>
    <w:p w14:paraId="24740AC9" w14:textId="77777777" w:rsidR="007D1930" w:rsidRPr="007D1930" w:rsidRDefault="007D1930" w:rsidP="007D1930">
      <w:pPr>
        <w:pStyle w:val="ListParagraph"/>
        <w:spacing w:after="0" w:line="240" w:lineRule="auto"/>
        <w:ind w:left="567"/>
        <w:jc w:val="left"/>
        <w:rPr>
          <w:rFonts w:ascii="Arial" w:hAnsi="Arial" w:cs="Arial"/>
          <w:szCs w:val="20"/>
        </w:rPr>
      </w:pPr>
    </w:p>
    <w:p w14:paraId="194D4EB0" w14:textId="535CBD4C" w:rsidR="00943466" w:rsidRPr="00C40261" w:rsidRDefault="00943466" w:rsidP="00C40261">
      <w:pPr>
        <w:pStyle w:val="ListParagraph"/>
        <w:numPr>
          <w:ilvl w:val="0"/>
          <w:numId w:val="26"/>
        </w:numPr>
        <w:spacing w:after="0" w:line="240" w:lineRule="auto"/>
        <w:ind w:left="567" w:hanging="567"/>
        <w:contextualSpacing w:val="0"/>
        <w:jc w:val="left"/>
        <w:rPr>
          <w:rFonts w:ascii="Arial" w:hAnsi="Arial" w:cs="Arial"/>
          <w:szCs w:val="20"/>
        </w:rPr>
      </w:pPr>
      <w:r w:rsidRPr="00C40261">
        <w:rPr>
          <w:rFonts w:ascii="Arial" w:hAnsi="Arial" w:cs="Arial"/>
          <w:szCs w:val="24"/>
        </w:rPr>
        <w:t xml:space="preserve">For CRA 4, the </w:t>
      </w:r>
      <w:r w:rsidRPr="00C40261">
        <w:rPr>
          <w:rFonts w:ascii="Arial" w:hAnsi="Arial" w:cs="Arial"/>
          <w:szCs w:val="20"/>
        </w:rPr>
        <w:t xml:space="preserve">biomass </w:t>
      </w:r>
      <w:r w:rsidRPr="00C40261">
        <w:rPr>
          <w:rFonts w:ascii="Arial" w:hAnsi="Arial" w:cs="Arial"/>
          <w:szCs w:val="24"/>
        </w:rPr>
        <w:t>level that can produce the maximum sustainable yield (</w:t>
      </w:r>
      <w:r w:rsidRPr="00C40261">
        <w:rPr>
          <w:rFonts w:ascii="Arial" w:hAnsi="Arial" w:cs="Arial"/>
          <w:i/>
          <w:szCs w:val="20"/>
        </w:rPr>
        <w:t>B</w:t>
      </w:r>
      <w:r w:rsidRPr="00C40261">
        <w:rPr>
          <w:rFonts w:ascii="Arial" w:hAnsi="Arial" w:cs="Arial"/>
          <w:i/>
          <w:szCs w:val="20"/>
          <w:vertAlign w:val="subscript"/>
        </w:rPr>
        <w:t>MSY</w:t>
      </w:r>
      <w:r w:rsidRPr="00C40261">
        <w:rPr>
          <w:rFonts w:ascii="Arial" w:hAnsi="Arial" w:cs="Arial"/>
          <w:szCs w:val="24"/>
        </w:rPr>
        <w:t>) is not known</w:t>
      </w:r>
      <w:r w:rsidRPr="00C40261">
        <w:rPr>
          <w:rFonts w:ascii="Arial" w:hAnsi="Arial" w:cs="Arial"/>
          <w:szCs w:val="20"/>
        </w:rPr>
        <w:t>.</w:t>
      </w:r>
      <w:r w:rsidR="00C1118A" w:rsidRPr="00C40261">
        <w:rPr>
          <w:rFonts w:ascii="Arial" w:hAnsi="Arial" w:cs="Arial"/>
          <w:szCs w:val="20"/>
        </w:rPr>
        <w:t xml:space="preserve"> An MSY</w:t>
      </w:r>
      <w:r w:rsidR="00F00A54" w:rsidRPr="00C40261">
        <w:rPr>
          <w:rFonts w:ascii="Arial" w:hAnsi="Arial" w:cs="Arial"/>
          <w:szCs w:val="20"/>
        </w:rPr>
        <w:t>-compatible reference level,</w:t>
      </w:r>
      <w:r w:rsidRPr="00C40261">
        <w:rPr>
          <w:rFonts w:ascii="Arial" w:hAnsi="Arial" w:cs="Arial"/>
          <w:szCs w:val="20"/>
        </w:rPr>
        <w:t xml:space="preserve"> </w:t>
      </w:r>
      <w:r w:rsidR="00F00A54" w:rsidRPr="00C40261">
        <w:rPr>
          <w:rFonts w:ascii="Arial" w:hAnsi="Arial" w:cs="Arial"/>
          <w:i/>
          <w:szCs w:val="20"/>
        </w:rPr>
        <w:t>B</w:t>
      </w:r>
      <w:r w:rsidR="00F00A54" w:rsidRPr="00C40261">
        <w:rPr>
          <w:rFonts w:ascii="Arial" w:hAnsi="Arial" w:cs="Arial"/>
          <w:i/>
          <w:szCs w:val="20"/>
          <w:vertAlign w:val="subscript"/>
        </w:rPr>
        <w:t>REF</w:t>
      </w:r>
      <w:r w:rsidR="00F00A54" w:rsidRPr="00C40261">
        <w:rPr>
          <w:rFonts w:ascii="Arial" w:hAnsi="Arial" w:cs="Arial"/>
          <w:szCs w:val="20"/>
        </w:rPr>
        <w:t xml:space="preserve">, is instead used for CRA 4. </w:t>
      </w:r>
      <w:r w:rsidRPr="00C40261">
        <w:rPr>
          <w:rFonts w:ascii="Arial" w:hAnsi="Arial" w:cs="Arial"/>
          <w:szCs w:val="20"/>
        </w:rPr>
        <w:t xml:space="preserve">Because of this, any variation of the CRA 4 TAC must be done </w:t>
      </w:r>
      <w:r w:rsidR="00B4198E">
        <w:rPr>
          <w:rFonts w:ascii="Arial" w:hAnsi="Arial" w:cs="Arial"/>
          <w:szCs w:val="20"/>
        </w:rPr>
        <w:t>having regard to</w:t>
      </w:r>
      <w:r w:rsidR="00F00A54" w:rsidRPr="00C40261">
        <w:rPr>
          <w:rFonts w:ascii="Arial" w:hAnsi="Arial" w:cs="Arial"/>
          <w:szCs w:val="20"/>
        </w:rPr>
        <w:t xml:space="preserve"> </w:t>
      </w:r>
      <w:r w:rsidRPr="00C40261">
        <w:rPr>
          <w:rFonts w:ascii="Arial" w:hAnsi="Arial" w:cs="Arial"/>
          <w:szCs w:val="20"/>
        </w:rPr>
        <w:t>section 13(2A).</w:t>
      </w:r>
      <w:r w:rsidR="00AE2F0E">
        <w:rPr>
          <w:rFonts w:ascii="Arial" w:hAnsi="Arial" w:cs="Arial"/>
          <w:szCs w:val="20"/>
        </w:rPr>
        <w:t xml:space="preserve"> </w:t>
      </w:r>
      <w:r w:rsidR="00AE2F0E">
        <w:rPr>
          <w:rFonts w:ascii="Arial" w:hAnsi="Arial" w:cs="Arial"/>
          <w:szCs w:val="24"/>
        </w:rPr>
        <w:t>For further information on the Minister’s statutory considerations refer to Appendix 1.</w:t>
      </w:r>
    </w:p>
    <w:p w14:paraId="45D075ED" w14:textId="77777777" w:rsidR="00943466" w:rsidRPr="00C40261" w:rsidRDefault="00943466" w:rsidP="00C40261">
      <w:pPr>
        <w:contextualSpacing w:val="0"/>
        <w:rPr>
          <w:rFonts w:ascii="Arial" w:hAnsi="Arial" w:cs="Arial"/>
          <w:sz w:val="22"/>
          <w:szCs w:val="22"/>
        </w:rPr>
      </w:pPr>
    </w:p>
    <w:p w14:paraId="1ADF9D50" w14:textId="77777777" w:rsidR="002C54A7" w:rsidRDefault="002C54A7">
      <w:pPr>
        <w:spacing w:after="160" w:line="259" w:lineRule="auto"/>
        <w:contextualSpacing w:val="0"/>
        <w:rPr>
          <w:rFonts w:ascii="Arial" w:hAnsi="Arial" w:cs="Arial"/>
          <w:sz w:val="22"/>
        </w:rPr>
      </w:pPr>
      <w:r>
        <w:rPr>
          <w:rFonts w:ascii="Arial" w:hAnsi="Arial" w:cs="Arial"/>
        </w:rPr>
        <w:br w:type="page"/>
      </w:r>
    </w:p>
    <w:p w14:paraId="1F1082DD" w14:textId="691D0F44" w:rsidR="00943466" w:rsidRPr="00C40261" w:rsidRDefault="00943466" w:rsidP="00C40261">
      <w:pPr>
        <w:pStyle w:val="ListParagraph"/>
        <w:keepNext/>
        <w:numPr>
          <w:ilvl w:val="0"/>
          <w:numId w:val="26"/>
        </w:numPr>
        <w:spacing w:after="0" w:line="240" w:lineRule="auto"/>
        <w:ind w:left="567" w:hanging="567"/>
        <w:contextualSpacing w:val="0"/>
        <w:jc w:val="left"/>
        <w:rPr>
          <w:rFonts w:ascii="Arial" w:hAnsi="Arial" w:cs="Arial"/>
          <w:szCs w:val="20"/>
        </w:rPr>
      </w:pPr>
      <w:r w:rsidRPr="00C40261">
        <w:rPr>
          <w:rFonts w:ascii="Arial" w:hAnsi="Arial" w:cs="Arial"/>
          <w:szCs w:val="20"/>
        </w:rPr>
        <w:lastRenderedPageBreak/>
        <w:t xml:space="preserve">Under Option CRA4_01, the CRA 4 TAC would stay at its current level of </w:t>
      </w:r>
      <w:r w:rsidR="00E21F5D" w:rsidRPr="00C40261">
        <w:rPr>
          <w:rFonts w:ascii="Arial" w:hAnsi="Arial" w:cs="Arial"/>
          <w:szCs w:val="20"/>
        </w:rPr>
        <w:t>513.8</w:t>
      </w:r>
      <w:r w:rsidRPr="00C40261">
        <w:rPr>
          <w:rFonts w:ascii="Arial" w:hAnsi="Arial" w:cs="Arial"/>
          <w:szCs w:val="20"/>
        </w:rPr>
        <w:t xml:space="preserve"> tonnes from 1 April 201</w:t>
      </w:r>
      <w:r w:rsidR="00AE6D2B" w:rsidRPr="00C40261">
        <w:rPr>
          <w:rFonts w:ascii="Arial" w:hAnsi="Arial" w:cs="Arial"/>
          <w:szCs w:val="20"/>
        </w:rPr>
        <w:t>9</w:t>
      </w:r>
      <w:r w:rsidRPr="00C40261">
        <w:rPr>
          <w:rFonts w:ascii="Arial" w:hAnsi="Arial" w:cs="Arial"/>
          <w:szCs w:val="20"/>
        </w:rPr>
        <w:t>.</w:t>
      </w:r>
      <w:r w:rsidR="00F969AA">
        <w:rPr>
          <w:rFonts w:ascii="Arial" w:hAnsi="Arial" w:cs="Arial"/>
          <w:szCs w:val="20"/>
        </w:rPr>
        <w:t xml:space="preserve"> Compared with</w:t>
      </w:r>
      <w:r w:rsidRPr="00C40261">
        <w:rPr>
          <w:rFonts w:ascii="Arial" w:hAnsi="Arial" w:cs="Arial"/>
          <w:szCs w:val="20"/>
        </w:rPr>
        <w:t xml:space="preserve"> Option CRA4_02, this option could result in increased abundance in the CRA 4 fishery in the short-term, increased non-commercial catches and catch rates, and higher CPUE for commercial fishers, which may result in reduced harvesting costs. </w:t>
      </w:r>
    </w:p>
    <w:p w14:paraId="612E908E" w14:textId="1B85D9E6" w:rsidR="0088491B" w:rsidRPr="00C40261" w:rsidRDefault="0088491B" w:rsidP="00C40261">
      <w:pPr>
        <w:pStyle w:val="ListParagraph"/>
        <w:spacing w:after="0" w:line="240" w:lineRule="auto"/>
        <w:contextualSpacing w:val="0"/>
        <w:rPr>
          <w:rFonts w:ascii="Arial" w:hAnsi="Arial" w:cs="Arial"/>
        </w:rPr>
      </w:pPr>
    </w:p>
    <w:p w14:paraId="596ECD64" w14:textId="20FB86D1" w:rsidR="00943466" w:rsidRPr="00C40261" w:rsidRDefault="00943466" w:rsidP="00C40261">
      <w:pPr>
        <w:pStyle w:val="ListParagraph"/>
        <w:numPr>
          <w:ilvl w:val="0"/>
          <w:numId w:val="26"/>
        </w:numPr>
        <w:spacing w:after="0" w:line="240" w:lineRule="auto"/>
        <w:ind w:left="567" w:hanging="567"/>
        <w:contextualSpacing w:val="0"/>
        <w:jc w:val="left"/>
        <w:rPr>
          <w:rFonts w:ascii="Arial" w:hAnsi="Arial" w:cs="Arial"/>
          <w:szCs w:val="20"/>
        </w:rPr>
      </w:pPr>
      <w:r w:rsidRPr="00C40261">
        <w:rPr>
          <w:rFonts w:ascii="Arial" w:hAnsi="Arial" w:cs="Arial"/>
          <w:szCs w:val="20"/>
        </w:rPr>
        <w:t xml:space="preserve">Under Option CRA4_02, the CRA 4 TAC would be </w:t>
      </w:r>
      <w:r w:rsidR="00E21F5D" w:rsidRPr="00C40261">
        <w:rPr>
          <w:rFonts w:ascii="Arial" w:hAnsi="Arial" w:cs="Arial"/>
          <w:szCs w:val="20"/>
        </w:rPr>
        <w:t>increased to 55</w:t>
      </w:r>
      <w:r w:rsidR="00CE3A4C" w:rsidRPr="00C40261">
        <w:rPr>
          <w:rFonts w:ascii="Arial" w:hAnsi="Arial" w:cs="Arial"/>
          <w:szCs w:val="20"/>
        </w:rPr>
        <w:t>8</w:t>
      </w:r>
      <w:r w:rsidR="00E21F5D" w:rsidRPr="00C40261">
        <w:rPr>
          <w:rFonts w:ascii="Arial" w:hAnsi="Arial" w:cs="Arial"/>
          <w:szCs w:val="20"/>
        </w:rPr>
        <w:t xml:space="preserve"> tonnes (a</w:t>
      </w:r>
      <w:r w:rsidR="00380799" w:rsidRPr="00C40261">
        <w:rPr>
          <w:rFonts w:ascii="Arial" w:hAnsi="Arial" w:cs="Arial"/>
          <w:szCs w:val="20"/>
        </w:rPr>
        <w:t>n</w:t>
      </w:r>
      <w:r w:rsidR="00E21F5D" w:rsidRPr="00C40261">
        <w:rPr>
          <w:rFonts w:ascii="Arial" w:hAnsi="Arial" w:cs="Arial"/>
          <w:szCs w:val="20"/>
        </w:rPr>
        <w:t xml:space="preserve"> </w:t>
      </w:r>
      <w:r w:rsidR="00CE3A4C" w:rsidRPr="00C40261">
        <w:rPr>
          <w:rFonts w:ascii="Arial" w:hAnsi="Arial" w:cs="Arial"/>
          <w:szCs w:val="20"/>
        </w:rPr>
        <w:t>8</w:t>
      </w:r>
      <w:r w:rsidR="00E21F5D" w:rsidRPr="00C40261">
        <w:rPr>
          <w:rFonts w:ascii="Arial" w:hAnsi="Arial" w:cs="Arial"/>
          <w:szCs w:val="20"/>
        </w:rPr>
        <w:t>.6</w:t>
      </w:r>
      <w:r w:rsidRPr="00C40261">
        <w:rPr>
          <w:rFonts w:ascii="Arial" w:hAnsi="Arial" w:cs="Arial"/>
          <w:szCs w:val="20"/>
        </w:rPr>
        <w:t>% increase). The proposed TAC increase is guided by the use of the current CRA 4 management procedure</w:t>
      </w:r>
      <w:r w:rsidRPr="00C40261" w:rsidDel="00914C2A">
        <w:rPr>
          <w:rFonts w:ascii="Arial" w:hAnsi="Arial" w:cs="Arial"/>
          <w:szCs w:val="20"/>
        </w:rPr>
        <w:t>.</w:t>
      </w:r>
      <w:r w:rsidR="00E22B6D">
        <w:rPr>
          <w:rFonts w:ascii="Arial" w:hAnsi="Arial" w:cs="Arial"/>
          <w:szCs w:val="20"/>
        </w:rPr>
        <w:t xml:space="preserve"> The </w:t>
      </w:r>
      <w:r w:rsidR="00E22B6D" w:rsidRPr="00CE29B5">
        <w:rPr>
          <w:rFonts w:ascii="Arial" w:hAnsi="Arial" w:cs="Arial"/>
        </w:rPr>
        <w:t>N</w:t>
      </w:r>
      <w:r w:rsidR="00E22B6D">
        <w:rPr>
          <w:rFonts w:ascii="Arial" w:hAnsi="Arial" w:cs="Arial"/>
        </w:rPr>
        <w:t xml:space="preserve">ational </w:t>
      </w:r>
      <w:r w:rsidR="00E22B6D" w:rsidRPr="00CE29B5">
        <w:rPr>
          <w:rFonts w:ascii="Arial" w:hAnsi="Arial" w:cs="Arial"/>
        </w:rPr>
        <w:t>R</w:t>
      </w:r>
      <w:r w:rsidR="00E22B6D">
        <w:rPr>
          <w:rFonts w:ascii="Arial" w:hAnsi="Arial" w:cs="Arial"/>
        </w:rPr>
        <w:t xml:space="preserve">ock </w:t>
      </w:r>
      <w:r w:rsidR="00E22B6D" w:rsidRPr="00CE29B5">
        <w:rPr>
          <w:rFonts w:ascii="Arial" w:hAnsi="Arial" w:cs="Arial"/>
        </w:rPr>
        <w:t>L</w:t>
      </w:r>
      <w:r w:rsidR="00E22B6D">
        <w:rPr>
          <w:rFonts w:ascii="Arial" w:hAnsi="Arial" w:cs="Arial"/>
        </w:rPr>
        <w:t xml:space="preserve">obster </w:t>
      </w:r>
      <w:r w:rsidR="00E22B6D" w:rsidRPr="00CE29B5">
        <w:rPr>
          <w:rFonts w:ascii="Arial" w:hAnsi="Arial" w:cs="Arial"/>
        </w:rPr>
        <w:t>M</w:t>
      </w:r>
      <w:r w:rsidR="00E22B6D">
        <w:rPr>
          <w:rFonts w:ascii="Arial" w:hAnsi="Arial" w:cs="Arial"/>
        </w:rPr>
        <w:t xml:space="preserve">anagement </w:t>
      </w:r>
      <w:r w:rsidR="00E22B6D" w:rsidRPr="00CE29B5">
        <w:rPr>
          <w:rFonts w:ascii="Arial" w:hAnsi="Arial" w:cs="Arial"/>
        </w:rPr>
        <w:t>G</w:t>
      </w:r>
      <w:r w:rsidR="00E22B6D">
        <w:rPr>
          <w:rFonts w:ascii="Arial" w:hAnsi="Arial" w:cs="Arial"/>
        </w:rPr>
        <w:t>roup</w:t>
      </w:r>
      <w:r w:rsidRPr="00C40261">
        <w:rPr>
          <w:rFonts w:ascii="Arial" w:hAnsi="Arial" w:cs="Arial"/>
          <w:szCs w:val="20"/>
        </w:rPr>
        <w:t xml:space="preserve"> supports the use of management procedures unless there are compelling reasons in a particular case not to follow the procedure.</w:t>
      </w:r>
    </w:p>
    <w:p w14:paraId="0ACA5743" w14:textId="77777777" w:rsidR="00943466" w:rsidRPr="00C40261" w:rsidRDefault="00943466" w:rsidP="00C40261">
      <w:pPr>
        <w:ind w:left="567" w:hanging="567"/>
        <w:contextualSpacing w:val="0"/>
        <w:rPr>
          <w:rFonts w:ascii="Arial" w:hAnsi="Arial" w:cs="Arial"/>
          <w:sz w:val="22"/>
        </w:rPr>
      </w:pPr>
    </w:p>
    <w:p w14:paraId="0F826854" w14:textId="77777777" w:rsidR="00943466" w:rsidRPr="00C40261" w:rsidRDefault="00943466" w:rsidP="00C40261">
      <w:pPr>
        <w:pStyle w:val="ListParagraph"/>
        <w:numPr>
          <w:ilvl w:val="0"/>
          <w:numId w:val="26"/>
        </w:numPr>
        <w:spacing w:after="0" w:line="240" w:lineRule="auto"/>
        <w:ind w:left="567" w:hanging="567"/>
        <w:contextualSpacing w:val="0"/>
        <w:jc w:val="left"/>
        <w:rPr>
          <w:rFonts w:ascii="Arial" w:hAnsi="Arial" w:cs="Arial"/>
          <w:szCs w:val="20"/>
        </w:rPr>
      </w:pPr>
      <w:r w:rsidRPr="00C40261">
        <w:rPr>
          <w:rFonts w:ascii="Arial" w:hAnsi="Arial" w:cs="Arial"/>
          <w:szCs w:val="20"/>
        </w:rPr>
        <w:t>Ongoing application of the CRA 4 management procedure is expected to maintain the stock above the agreed reference level (</w:t>
      </w:r>
      <w:r w:rsidRPr="00C40261">
        <w:rPr>
          <w:rFonts w:ascii="Arial" w:hAnsi="Arial" w:cs="Arial"/>
          <w:i/>
          <w:szCs w:val="20"/>
        </w:rPr>
        <w:t>B</w:t>
      </w:r>
      <w:r w:rsidRPr="00C40261">
        <w:rPr>
          <w:rFonts w:ascii="Arial" w:hAnsi="Arial" w:cs="Arial"/>
          <w:i/>
          <w:szCs w:val="20"/>
          <w:vertAlign w:val="subscript"/>
        </w:rPr>
        <w:t>REF,</w:t>
      </w:r>
      <w:r w:rsidRPr="00C40261">
        <w:rPr>
          <w:rFonts w:ascii="Arial" w:hAnsi="Arial" w:cs="Arial"/>
          <w:szCs w:val="20"/>
        </w:rPr>
        <w:t xml:space="preserve">) with greater than 50% probability. Simulation testing indicates it would maintain the stock above </w:t>
      </w:r>
      <w:r w:rsidRPr="00C40261">
        <w:rPr>
          <w:rFonts w:ascii="Arial" w:hAnsi="Arial" w:cs="Arial"/>
          <w:i/>
          <w:szCs w:val="20"/>
        </w:rPr>
        <w:t>B</w:t>
      </w:r>
      <w:r w:rsidRPr="00C40261">
        <w:rPr>
          <w:rFonts w:ascii="Arial" w:hAnsi="Arial" w:cs="Arial"/>
          <w:i/>
          <w:szCs w:val="20"/>
          <w:vertAlign w:val="subscript"/>
        </w:rPr>
        <w:t>REF,</w:t>
      </w:r>
      <w:r w:rsidRPr="00C40261">
        <w:rPr>
          <w:rFonts w:ascii="Arial" w:hAnsi="Arial" w:cs="Arial"/>
          <w:szCs w:val="20"/>
        </w:rPr>
        <w:t xml:space="preserve"> with 92% probability. Maintaining the stock above the reference level is likely to provide increased utilisation benefits for all sectors.</w:t>
      </w:r>
    </w:p>
    <w:p w14:paraId="6B3787FA" w14:textId="049B0213" w:rsidR="00887A9E" w:rsidRPr="00C40261" w:rsidRDefault="00887A9E" w:rsidP="00C40261">
      <w:pPr>
        <w:pStyle w:val="ListParagraph"/>
        <w:spacing w:after="0" w:line="240" w:lineRule="auto"/>
        <w:contextualSpacing w:val="0"/>
        <w:rPr>
          <w:rFonts w:ascii="Arial" w:hAnsi="Arial" w:cs="Arial"/>
          <w:szCs w:val="20"/>
        </w:rPr>
      </w:pPr>
    </w:p>
    <w:p w14:paraId="4367BE54" w14:textId="1B3D396A" w:rsidR="006604B2" w:rsidRDefault="0039201D" w:rsidP="006604B2">
      <w:pPr>
        <w:pStyle w:val="Heading3"/>
        <w:keepLines w:val="0"/>
        <w:numPr>
          <w:ilvl w:val="2"/>
          <w:numId w:val="0"/>
        </w:numPr>
        <w:spacing w:after="60"/>
        <w:ind w:left="720" w:hanging="720"/>
      </w:pPr>
      <w:r>
        <w:t>A</w:t>
      </w:r>
      <w:r w:rsidR="006604B2">
        <w:t>llowances</w:t>
      </w:r>
    </w:p>
    <w:p w14:paraId="1B5034C2" w14:textId="77777777" w:rsidR="00887A9E" w:rsidRDefault="00887A9E" w:rsidP="00887A9E">
      <w:pPr>
        <w:rPr>
          <w:rFonts w:ascii="Arial" w:hAnsi="Arial" w:cs="Arial"/>
          <w:sz w:val="22"/>
          <w:szCs w:val="22"/>
        </w:rPr>
      </w:pPr>
    </w:p>
    <w:p w14:paraId="066AED4A" w14:textId="5EB8B231" w:rsidR="0057475E" w:rsidRPr="0057475E" w:rsidRDefault="00756AD5" w:rsidP="0057475E">
      <w:pPr>
        <w:pStyle w:val="ListParagraph"/>
        <w:numPr>
          <w:ilvl w:val="0"/>
          <w:numId w:val="26"/>
        </w:numPr>
        <w:spacing w:after="0" w:line="240" w:lineRule="auto"/>
        <w:ind w:left="567" w:hanging="567"/>
        <w:jc w:val="left"/>
        <w:rPr>
          <w:rFonts w:ascii="Arial" w:hAnsi="Arial" w:cs="Arial"/>
          <w:szCs w:val="20"/>
        </w:rPr>
      </w:pPr>
      <w:r>
        <w:rPr>
          <w:rFonts w:ascii="Arial" w:hAnsi="Arial" w:cs="Arial"/>
          <w:szCs w:val="20"/>
        </w:rPr>
        <w:t>Table 6</w:t>
      </w:r>
      <w:r w:rsidR="007879A2">
        <w:rPr>
          <w:rFonts w:ascii="Arial" w:hAnsi="Arial" w:cs="Arial"/>
          <w:szCs w:val="20"/>
        </w:rPr>
        <w:t xml:space="preserve"> provides a summary of</w:t>
      </w:r>
      <w:r w:rsidR="0057475E" w:rsidRPr="0057475E">
        <w:rPr>
          <w:rFonts w:ascii="Arial" w:hAnsi="Arial" w:cs="Arial"/>
          <w:szCs w:val="20"/>
        </w:rPr>
        <w:t xml:space="preserve"> information on current non-commercial allowances for CRA 4 and stock assessment assumptions of non-commercial catch.</w:t>
      </w:r>
    </w:p>
    <w:p w14:paraId="4F1DEFF2" w14:textId="77777777" w:rsidR="0057475E" w:rsidRPr="00C40261" w:rsidRDefault="0057475E" w:rsidP="0057475E">
      <w:pPr>
        <w:rPr>
          <w:rFonts w:ascii="Arial" w:hAnsi="Arial" w:cs="Arial"/>
          <w:sz w:val="22"/>
          <w:szCs w:val="22"/>
        </w:rPr>
      </w:pPr>
    </w:p>
    <w:p w14:paraId="4A8AFC5E" w14:textId="275A926E" w:rsidR="0057475E" w:rsidRPr="003C1C4A" w:rsidRDefault="0057475E" w:rsidP="0057475E">
      <w:pPr>
        <w:keepNext/>
        <w:spacing w:after="120"/>
        <w:contextualSpacing w:val="0"/>
        <w:rPr>
          <w:rFonts w:ascii="Arial Narrow" w:hAnsi="Arial Narrow"/>
          <w:b/>
          <w:sz w:val="22"/>
          <w:szCs w:val="22"/>
        </w:rPr>
      </w:pPr>
      <w:r w:rsidRPr="003C1C4A">
        <w:rPr>
          <w:rFonts w:ascii="Arial Narrow" w:hAnsi="Arial Narrow"/>
          <w:b/>
          <w:sz w:val="22"/>
          <w:szCs w:val="22"/>
        </w:rPr>
        <w:t xml:space="preserve">Table </w:t>
      </w:r>
      <w:r w:rsidR="00756AD5" w:rsidRPr="003C1C4A">
        <w:rPr>
          <w:rFonts w:ascii="Arial Narrow" w:hAnsi="Arial Narrow"/>
          <w:b/>
          <w:sz w:val="22"/>
          <w:szCs w:val="22"/>
        </w:rPr>
        <w:t>6</w:t>
      </w:r>
      <w:r w:rsidRPr="003C1C4A">
        <w:rPr>
          <w:rFonts w:ascii="Arial Narrow" w:hAnsi="Arial Narrow"/>
          <w:b/>
          <w:sz w:val="22"/>
          <w:szCs w:val="22"/>
        </w:rPr>
        <w:t>: Current CRA 4 allowances and model assumptions of non-commercial catches (in tonnes).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4"/>
        <w:gridCol w:w="1468"/>
        <w:gridCol w:w="1468"/>
        <w:gridCol w:w="1468"/>
        <w:gridCol w:w="1468"/>
      </w:tblGrid>
      <w:tr w:rsidR="0057475E" w:rsidRPr="005A515B" w14:paraId="13A20F31" w14:textId="77777777" w:rsidTr="005556B6">
        <w:trPr>
          <w:trHeight w:val="20"/>
        </w:trPr>
        <w:tc>
          <w:tcPr>
            <w:tcW w:w="1747" w:type="pct"/>
            <w:tcBorders>
              <w:top w:val="single" w:sz="4" w:space="0" w:color="auto"/>
              <w:left w:val="nil"/>
              <w:bottom w:val="single" w:sz="4" w:space="0" w:color="auto"/>
              <w:right w:val="nil"/>
            </w:tcBorders>
            <w:vAlign w:val="center"/>
          </w:tcPr>
          <w:p w14:paraId="510079BD" w14:textId="77777777" w:rsidR="0057475E" w:rsidRPr="00E22A43" w:rsidRDefault="0057475E" w:rsidP="00C40261">
            <w:pPr>
              <w:spacing w:before="40" w:after="40"/>
              <w:contextualSpacing w:val="0"/>
              <w:rPr>
                <w:rFonts w:ascii="Arial Narrow" w:hAnsi="Arial Narrow"/>
                <w:b/>
                <w:sz w:val="20"/>
              </w:rPr>
            </w:pPr>
            <w:r>
              <w:rPr>
                <w:rFonts w:ascii="Arial Narrow" w:hAnsi="Arial Narrow"/>
                <w:b/>
                <w:sz w:val="20"/>
              </w:rPr>
              <w:t>CRA 4</w:t>
            </w:r>
          </w:p>
        </w:tc>
        <w:tc>
          <w:tcPr>
            <w:tcW w:w="813" w:type="pct"/>
            <w:tcBorders>
              <w:top w:val="single" w:sz="4" w:space="0" w:color="auto"/>
              <w:left w:val="nil"/>
              <w:bottom w:val="single" w:sz="4" w:space="0" w:color="auto"/>
              <w:right w:val="nil"/>
            </w:tcBorders>
            <w:vAlign w:val="center"/>
          </w:tcPr>
          <w:p w14:paraId="1A4B2E77" w14:textId="77777777" w:rsidR="0057475E" w:rsidRDefault="0057475E" w:rsidP="00C40261">
            <w:pPr>
              <w:spacing w:before="40" w:after="40"/>
              <w:contextualSpacing w:val="0"/>
              <w:jc w:val="center"/>
              <w:rPr>
                <w:rFonts w:ascii="Arial Narrow" w:hAnsi="Arial Narrow"/>
                <w:b/>
                <w:sz w:val="20"/>
              </w:rPr>
            </w:pPr>
            <w:r w:rsidRPr="00E22A43">
              <w:rPr>
                <w:rFonts w:ascii="Arial Narrow" w:hAnsi="Arial Narrow"/>
                <w:b/>
                <w:sz w:val="20"/>
              </w:rPr>
              <w:t>Customary</w:t>
            </w:r>
          </w:p>
          <w:p w14:paraId="514246CC" w14:textId="77777777" w:rsidR="0057475E" w:rsidRPr="00E22A43" w:rsidRDefault="0057475E" w:rsidP="00C40261">
            <w:pPr>
              <w:spacing w:before="40" w:after="40"/>
              <w:contextualSpacing w:val="0"/>
              <w:jc w:val="center"/>
              <w:rPr>
                <w:rFonts w:ascii="Arial Narrow" w:hAnsi="Arial Narrow"/>
                <w:b/>
                <w:sz w:val="20"/>
              </w:rPr>
            </w:pPr>
            <w:r>
              <w:rPr>
                <w:rFonts w:ascii="Arial Narrow" w:hAnsi="Arial Narrow"/>
                <w:b/>
                <w:sz w:val="20"/>
              </w:rPr>
              <w:t>Māori</w:t>
            </w:r>
          </w:p>
        </w:tc>
        <w:tc>
          <w:tcPr>
            <w:tcW w:w="813" w:type="pct"/>
            <w:tcBorders>
              <w:top w:val="single" w:sz="4" w:space="0" w:color="auto"/>
              <w:left w:val="nil"/>
              <w:bottom w:val="single" w:sz="4" w:space="0" w:color="auto"/>
              <w:right w:val="nil"/>
            </w:tcBorders>
            <w:vAlign w:val="center"/>
          </w:tcPr>
          <w:p w14:paraId="76A2E975" w14:textId="77777777" w:rsidR="0057475E" w:rsidRPr="00E22A43" w:rsidRDefault="0057475E" w:rsidP="00C40261">
            <w:pPr>
              <w:spacing w:before="40" w:after="40"/>
              <w:contextualSpacing w:val="0"/>
              <w:jc w:val="center"/>
              <w:rPr>
                <w:rFonts w:ascii="Arial Narrow" w:hAnsi="Arial Narrow"/>
                <w:b/>
                <w:sz w:val="20"/>
              </w:rPr>
            </w:pPr>
            <w:r w:rsidRPr="00E22A43">
              <w:rPr>
                <w:rFonts w:ascii="Arial Narrow" w:hAnsi="Arial Narrow"/>
                <w:b/>
                <w:sz w:val="20"/>
              </w:rPr>
              <w:t>Recreational</w:t>
            </w:r>
          </w:p>
        </w:tc>
        <w:tc>
          <w:tcPr>
            <w:tcW w:w="813" w:type="pct"/>
            <w:tcBorders>
              <w:top w:val="single" w:sz="4" w:space="0" w:color="auto"/>
              <w:left w:val="nil"/>
              <w:bottom w:val="single" w:sz="4" w:space="0" w:color="auto"/>
              <w:right w:val="nil"/>
            </w:tcBorders>
            <w:vAlign w:val="center"/>
          </w:tcPr>
          <w:p w14:paraId="62E3162D" w14:textId="77777777" w:rsidR="0057475E" w:rsidRPr="00E22A43" w:rsidRDefault="0057475E" w:rsidP="00C40261">
            <w:pPr>
              <w:spacing w:before="40" w:after="40"/>
              <w:contextualSpacing w:val="0"/>
              <w:jc w:val="center"/>
              <w:rPr>
                <w:rFonts w:ascii="Arial Narrow" w:hAnsi="Arial Narrow"/>
                <w:b/>
                <w:sz w:val="20"/>
              </w:rPr>
            </w:pPr>
            <w:r w:rsidRPr="00E22A43">
              <w:rPr>
                <w:rFonts w:ascii="Arial Narrow" w:hAnsi="Arial Narrow"/>
                <w:b/>
                <w:sz w:val="20"/>
              </w:rPr>
              <w:t>Other mortality</w:t>
            </w:r>
          </w:p>
        </w:tc>
        <w:tc>
          <w:tcPr>
            <w:tcW w:w="813" w:type="pct"/>
            <w:tcBorders>
              <w:top w:val="single" w:sz="4" w:space="0" w:color="auto"/>
              <w:left w:val="nil"/>
              <w:bottom w:val="single" w:sz="4" w:space="0" w:color="auto"/>
              <w:right w:val="nil"/>
            </w:tcBorders>
            <w:vAlign w:val="center"/>
          </w:tcPr>
          <w:p w14:paraId="3CD6B31C" w14:textId="77777777" w:rsidR="0057475E" w:rsidRPr="00E22A43" w:rsidRDefault="0057475E" w:rsidP="00C40261">
            <w:pPr>
              <w:spacing w:before="40" w:after="40"/>
              <w:contextualSpacing w:val="0"/>
              <w:jc w:val="center"/>
              <w:rPr>
                <w:rFonts w:ascii="Arial Narrow" w:hAnsi="Arial Narrow"/>
                <w:b/>
                <w:sz w:val="20"/>
              </w:rPr>
            </w:pPr>
            <w:r w:rsidRPr="00E22A43">
              <w:rPr>
                <w:rFonts w:ascii="Arial Narrow" w:hAnsi="Arial Narrow"/>
                <w:b/>
                <w:sz w:val="20"/>
              </w:rPr>
              <w:t>Total</w:t>
            </w:r>
          </w:p>
        </w:tc>
      </w:tr>
      <w:tr w:rsidR="0057475E" w:rsidRPr="005A515B" w14:paraId="05860BAA" w14:textId="77777777" w:rsidTr="005556B6">
        <w:trPr>
          <w:trHeight w:val="491"/>
        </w:trPr>
        <w:tc>
          <w:tcPr>
            <w:tcW w:w="1747" w:type="pct"/>
            <w:tcBorders>
              <w:top w:val="single" w:sz="4" w:space="0" w:color="auto"/>
              <w:left w:val="nil"/>
              <w:bottom w:val="nil"/>
              <w:right w:val="nil"/>
            </w:tcBorders>
            <w:vAlign w:val="center"/>
          </w:tcPr>
          <w:p w14:paraId="4B2D925B" w14:textId="77777777" w:rsidR="0057475E" w:rsidRPr="00E22A43" w:rsidRDefault="0057475E" w:rsidP="00C40261">
            <w:pPr>
              <w:spacing w:before="40" w:after="40"/>
              <w:contextualSpacing w:val="0"/>
              <w:rPr>
                <w:rFonts w:ascii="Arial Narrow" w:hAnsi="Arial Narrow"/>
                <w:sz w:val="20"/>
              </w:rPr>
            </w:pPr>
            <w:r w:rsidRPr="00E22A43">
              <w:rPr>
                <w:rFonts w:ascii="Arial Narrow" w:hAnsi="Arial Narrow"/>
                <w:sz w:val="20"/>
              </w:rPr>
              <w:t>Current allowances</w:t>
            </w:r>
          </w:p>
        </w:tc>
        <w:tc>
          <w:tcPr>
            <w:tcW w:w="813" w:type="pct"/>
            <w:tcBorders>
              <w:top w:val="single" w:sz="4" w:space="0" w:color="auto"/>
              <w:left w:val="nil"/>
              <w:bottom w:val="nil"/>
              <w:right w:val="nil"/>
            </w:tcBorders>
            <w:vAlign w:val="center"/>
          </w:tcPr>
          <w:p w14:paraId="2E5498CF" w14:textId="77777777" w:rsidR="0057475E" w:rsidRDefault="0057475E" w:rsidP="00C40261">
            <w:pPr>
              <w:spacing w:before="40" w:after="40"/>
              <w:contextualSpacing w:val="0"/>
              <w:jc w:val="center"/>
              <w:rPr>
                <w:rFonts w:ascii="Arial Narrow" w:hAnsi="Arial Narrow"/>
                <w:sz w:val="20"/>
              </w:rPr>
            </w:pPr>
            <w:r>
              <w:rPr>
                <w:rFonts w:ascii="Arial Narrow" w:hAnsi="Arial Narrow"/>
                <w:sz w:val="20"/>
              </w:rPr>
              <w:t>35</w:t>
            </w:r>
          </w:p>
        </w:tc>
        <w:tc>
          <w:tcPr>
            <w:tcW w:w="813" w:type="pct"/>
            <w:tcBorders>
              <w:top w:val="single" w:sz="4" w:space="0" w:color="auto"/>
              <w:left w:val="nil"/>
              <w:bottom w:val="nil"/>
              <w:right w:val="nil"/>
            </w:tcBorders>
            <w:vAlign w:val="center"/>
          </w:tcPr>
          <w:p w14:paraId="7E76F850" w14:textId="77777777" w:rsidR="0057475E" w:rsidRDefault="0057475E" w:rsidP="00C40261">
            <w:pPr>
              <w:spacing w:before="40" w:after="40"/>
              <w:contextualSpacing w:val="0"/>
              <w:jc w:val="center"/>
              <w:rPr>
                <w:rFonts w:ascii="Arial Narrow" w:hAnsi="Arial Narrow"/>
                <w:sz w:val="20"/>
              </w:rPr>
            </w:pPr>
            <w:r>
              <w:rPr>
                <w:rFonts w:ascii="Arial Narrow" w:hAnsi="Arial Narrow"/>
                <w:sz w:val="20"/>
              </w:rPr>
              <w:t>85</w:t>
            </w:r>
          </w:p>
        </w:tc>
        <w:tc>
          <w:tcPr>
            <w:tcW w:w="813" w:type="pct"/>
            <w:tcBorders>
              <w:top w:val="single" w:sz="4" w:space="0" w:color="auto"/>
              <w:left w:val="nil"/>
              <w:bottom w:val="nil"/>
              <w:right w:val="nil"/>
            </w:tcBorders>
            <w:vAlign w:val="center"/>
          </w:tcPr>
          <w:p w14:paraId="35212154" w14:textId="77777777" w:rsidR="0057475E" w:rsidRDefault="0057475E" w:rsidP="00C40261">
            <w:pPr>
              <w:spacing w:before="40" w:after="40"/>
              <w:contextualSpacing w:val="0"/>
              <w:jc w:val="center"/>
              <w:rPr>
                <w:rFonts w:ascii="Arial Narrow" w:hAnsi="Arial Narrow"/>
                <w:sz w:val="20"/>
              </w:rPr>
            </w:pPr>
            <w:r>
              <w:rPr>
                <w:rFonts w:ascii="Arial Narrow" w:hAnsi="Arial Narrow"/>
                <w:sz w:val="20"/>
              </w:rPr>
              <w:t>75</w:t>
            </w:r>
          </w:p>
        </w:tc>
        <w:tc>
          <w:tcPr>
            <w:tcW w:w="813" w:type="pct"/>
            <w:tcBorders>
              <w:top w:val="single" w:sz="4" w:space="0" w:color="auto"/>
              <w:left w:val="nil"/>
              <w:bottom w:val="nil"/>
              <w:right w:val="nil"/>
            </w:tcBorders>
            <w:vAlign w:val="center"/>
          </w:tcPr>
          <w:p w14:paraId="53086E8D" w14:textId="77777777" w:rsidR="0057475E" w:rsidRDefault="0057475E" w:rsidP="00C40261">
            <w:pPr>
              <w:spacing w:before="40" w:after="40"/>
              <w:contextualSpacing w:val="0"/>
              <w:jc w:val="center"/>
              <w:rPr>
                <w:rFonts w:ascii="Arial Narrow" w:hAnsi="Arial Narrow"/>
                <w:sz w:val="20"/>
              </w:rPr>
            </w:pPr>
            <w:r>
              <w:rPr>
                <w:rFonts w:ascii="Arial Narrow" w:hAnsi="Arial Narrow"/>
                <w:sz w:val="20"/>
              </w:rPr>
              <w:t>195</w:t>
            </w:r>
          </w:p>
        </w:tc>
      </w:tr>
      <w:tr w:rsidR="0057475E" w:rsidRPr="005A515B" w14:paraId="734C0612" w14:textId="77777777" w:rsidTr="005556B6">
        <w:trPr>
          <w:trHeight w:val="336"/>
        </w:trPr>
        <w:tc>
          <w:tcPr>
            <w:tcW w:w="1747" w:type="pct"/>
            <w:tcBorders>
              <w:top w:val="nil"/>
              <w:left w:val="nil"/>
              <w:bottom w:val="single" w:sz="4" w:space="0" w:color="auto"/>
              <w:right w:val="nil"/>
            </w:tcBorders>
            <w:vAlign w:val="center"/>
          </w:tcPr>
          <w:p w14:paraId="027A3694" w14:textId="77777777" w:rsidR="0057475E" w:rsidRPr="00E22A43" w:rsidRDefault="0057475E" w:rsidP="00C40261">
            <w:pPr>
              <w:spacing w:before="40" w:after="40"/>
              <w:contextualSpacing w:val="0"/>
              <w:rPr>
                <w:rFonts w:ascii="Arial Narrow" w:hAnsi="Arial Narrow"/>
                <w:sz w:val="20"/>
              </w:rPr>
            </w:pPr>
            <w:r w:rsidRPr="00E22A43">
              <w:rPr>
                <w:rFonts w:ascii="Arial Narrow" w:hAnsi="Arial Narrow"/>
                <w:sz w:val="20"/>
              </w:rPr>
              <w:t>N</w:t>
            </w:r>
            <w:r>
              <w:rPr>
                <w:rFonts w:ascii="Arial Narrow" w:hAnsi="Arial Narrow"/>
                <w:sz w:val="20"/>
              </w:rPr>
              <w:t>on-commercial catch assumptions</w:t>
            </w:r>
            <w:r>
              <w:rPr>
                <w:rFonts w:ascii="Arial Narrow" w:hAnsi="Arial Narrow"/>
                <w:sz w:val="20"/>
              </w:rPr>
              <w:br/>
              <w:t>for the 2016</w:t>
            </w:r>
            <w:r w:rsidRPr="00E22A43">
              <w:rPr>
                <w:rFonts w:ascii="Arial Narrow" w:hAnsi="Arial Narrow"/>
                <w:sz w:val="20"/>
              </w:rPr>
              <w:t xml:space="preserve"> stock assessment</w:t>
            </w:r>
          </w:p>
        </w:tc>
        <w:tc>
          <w:tcPr>
            <w:tcW w:w="813" w:type="pct"/>
            <w:tcBorders>
              <w:top w:val="nil"/>
              <w:left w:val="nil"/>
              <w:bottom w:val="single" w:sz="4" w:space="0" w:color="auto"/>
              <w:right w:val="nil"/>
            </w:tcBorders>
            <w:vAlign w:val="center"/>
          </w:tcPr>
          <w:p w14:paraId="258C79A0" w14:textId="77777777" w:rsidR="0057475E" w:rsidRDefault="0057475E" w:rsidP="00C40261">
            <w:pPr>
              <w:spacing w:before="40" w:after="40"/>
              <w:contextualSpacing w:val="0"/>
              <w:jc w:val="center"/>
              <w:rPr>
                <w:rFonts w:ascii="Arial Narrow" w:hAnsi="Arial Narrow"/>
                <w:sz w:val="20"/>
              </w:rPr>
            </w:pPr>
            <w:r>
              <w:rPr>
                <w:rFonts w:ascii="Arial Narrow" w:hAnsi="Arial Narrow"/>
                <w:sz w:val="20"/>
              </w:rPr>
              <w:t>20</w:t>
            </w:r>
          </w:p>
        </w:tc>
        <w:tc>
          <w:tcPr>
            <w:tcW w:w="813" w:type="pct"/>
            <w:tcBorders>
              <w:top w:val="nil"/>
              <w:left w:val="nil"/>
              <w:bottom w:val="single" w:sz="4" w:space="0" w:color="auto"/>
              <w:right w:val="nil"/>
            </w:tcBorders>
            <w:vAlign w:val="center"/>
          </w:tcPr>
          <w:p w14:paraId="1922A8E6" w14:textId="77777777" w:rsidR="0057475E" w:rsidRDefault="0057475E" w:rsidP="00C40261">
            <w:pPr>
              <w:spacing w:before="40" w:after="40"/>
              <w:contextualSpacing w:val="0"/>
              <w:jc w:val="center"/>
              <w:rPr>
                <w:rFonts w:ascii="Arial Narrow" w:hAnsi="Arial Narrow"/>
                <w:sz w:val="20"/>
              </w:rPr>
            </w:pPr>
            <w:r>
              <w:rPr>
                <w:rFonts w:ascii="Arial Narrow" w:hAnsi="Arial Narrow"/>
                <w:sz w:val="20"/>
              </w:rPr>
              <w:t>Assumed to vary with biomass. Estimated at 37.5 t for 2015.</w:t>
            </w:r>
          </w:p>
        </w:tc>
        <w:tc>
          <w:tcPr>
            <w:tcW w:w="813" w:type="pct"/>
            <w:tcBorders>
              <w:top w:val="nil"/>
              <w:left w:val="nil"/>
              <w:bottom w:val="single" w:sz="4" w:space="0" w:color="auto"/>
              <w:right w:val="nil"/>
            </w:tcBorders>
            <w:vAlign w:val="center"/>
          </w:tcPr>
          <w:p w14:paraId="61B64BC1" w14:textId="77777777" w:rsidR="0057475E" w:rsidRDefault="0057475E" w:rsidP="00C40261">
            <w:pPr>
              <w:spacing w:before="40" w:after="40"/>
              <w:contextualSpacing w:val="0"/>
              <w:jc w:val="center"/>
              <w:rPr>
                <w:rFonts w:ascii="Arial Narrow" w:hAnsi="Arial Narrow"/>
                <w:sz w:val="20"/>
              </w:rPr>
            </w:pPr>
            <w:r>
              <w:rPr>
                <w:rFonts w:ascii="Arial Narrow" w:hAnsi="Arial Narrow"/>
                <w:sz w:val="20"/>
              </w:rPr>
              <w:t>40 t illegal.</w:t>
            </w:r>
            <w:r>
              <w:rPr>
                <w:rFonts w:ascii="Arial Narrow" w:hAnsi="Arial Narrow"/>
                <w:sz w:val="20"/>
              </w:rPr>
              <w:br/>
              <w:t>18 t handling mortality.</w:t>
            </w:r>
          </w:p>
        </w:tc>
        <w:tc>
          <w:tcPr>
            <w:tcW w:w="813" w:type="pct"/>
            <w:tcBorders>
              <w:top w:val="nil"/>
              <w:left w:val="nil"/>
              <w:bottom w:val="single" w:sz="4" w:space="0" w:color="auto"/>
              <w:right w:val="nil"/>
            </w:tcBorders>
            <w:vAlign w:val="center"/>
          </w:tcPr>
          <w:p w14:paraId="298520E7" w14:textId="77777777" w:rsidR="0057475E" w:rsidRDefault="0057475E" w:rsidP="00C40261">
            <w:pPr>
              <w:spacing w:before="40" w:after="40"/>
              <w:contextualSpacing w:val="0"/>
              <w:jc w:val="center"/>
              <w:rPr>
                <w:rFonts w:ascii="Arial Narrow" w:hAnsi="Arial Narrow"/>
                <w:sz w:val="20"/>
              </w:rPr>
            </w:pPr>
            <w:r>
              <w:rPr>
                <w:rFonts w:ascii="Arial Narrow" w:hAnsi="Arial Narrow"/>
                <w:sz w:val="20"/>
              </w:rPr>
              <w:t>115.5</w:t>
            </w:r>
          </w:p>
        </w:tc>
      </w:tr>
    </w:tbl>
    <w:p w14:paraId="3967246E" w14:textId="0213F567" w:rsidR="0057475E" w:rsidRDefault="0057475E" w:rsidP="00887A9E">
      <w:pPr>
        <w:rPr>
          <w:rFonts w:ascii="Arial" w:hAnsi="Arial" w:cs="Arial"/>
          <w:sz w:val="22"/>
          <w:szCs w:val="22"/>
        </w:rPr>
      </w:pPr>
    </w:p>
    <w:p w14:paraId="5DAAF208" w14:textId="77777777" w:rsidR="0057475E" w:rsidRPr="007D1930" w:rsidRDefault="0057475E" w:rsidP="00887A9E">
      <w:pPr>
        <w:rPr>
          <w:rFonts w:ascii="Arial" w:hAnsi="Arial" w:cs="Arial"/>
          <w:sz w:val="22"/>
          <w:szCs w:val="22"/>
        </w:rPr>
      </w:pPr>
    </w:p>
    <w:p w14:paraId="7DFD735B" w14:textId="74E9F80E" w:rsidR="006604B2" w:rsidRPr="00015ED5" w:rsidRDefault="005B4E7B" w:rsidP="0057475E">
      <w:pPr>
        <w:spacing w:after="60"/>
        <w:contextualSpacing w:val="0"/>
        <w:rPr>
          <w:rFonts w:ascii="Arial Narrow" w:hAnsi="Arial Narrow"/>
          <w:b/>
          <w:i/>
        </w:rPr>
      </w:pPr>
      <w:r>
        <w:rPr>
          <w:rFonts w:ascii="Arial Narrow" w:hAnsi="Arial Narrow"/>
          <w:i/>
        </w:rPr>
        <w:t>Māori customary fishing</w:t>
      </w:r>
    </w:p>
    <w:p w14:paraId="1CE9B756" w14:textId="3CDB147F" w:rsidR="00887A9E" w:rsidRPr="00887A9E" w:rsidRDefault="0057475E" w:rsidP="00887A9E">
      <w:pPr>
        <w:pStyle w:val="ListParagraph"/>
        <w:numPr>
          <w:ilvl w:val="0"/>
          <w:numId w:val="26"/>
        </w:numPr>
        <w:spacing w:after="0" w:line="240" w:lineRule="auto"/>
        <w:ind w:left="567" w:hanging="567"/>
        <w:jc w:val="left"/>
        <w:rPr>
          <w:rFonts w:ascii="Arial" w:hAnsi="Arial" w:cs="Arial"/>
          <w:szCs w:val="20"/>
        </w:rPr>
      </w:pPr>
      <w:r>
        <w:rPr>
          <w:rFonts w:ascii="Arial" w:hAnsi="Arial" w:cs="Arial"/>
        </w:rPr>
        <w:t xml:space="preserve">No change is proposed to the 35 tonne </w:t>
      </w:r>
      <w:r w:rsidRPr="00887A9E">
        <w:rPr>
          <w:rFonts w:ascii="Arial" w:hAnsi="Arial" w:cs="Arial"/>
        </w:rPr>
        <w:t>customary Māori</w:t>
      </w:r>
      <w:r>
        <w:rPr>
          <w:rFonts w:ascii="Arial" w:hAnsi="Arial" w:cs="Arial"/>
        </w:rPr>
        <w:t xml:space="preserve"> allowance. While n</w:t>
      </w:r>
      <w:r w:rsidR="00887A9E" w:rsidRPr="00887A9E">
        <w:rPr>
          <w:rFonts w:ascii="Arial" w:hAnsi="Arial" w:cs="Arial"/>
        </w:rPr>
        <w:t>oting the incompleten</w:t>
      </w:r>
      <w:r w:rsidR="00887A9E">
        <w:rPr>
          <w:rFonts w:ascii="Arial" w:hAnsi="Arial" w:cs="Arial"/>
        </w:rPr>
        <w:t>ess and uncertainty in the CRA 4</w:t>
      </w:r>
      <w:r w:rsidR="00887A9E" w:rsidRPr="00887A9E">
        <w:rPr>
          <w:rFonts w:ascii="Arial" w:hAnsi="Arial" w:cs="Arial"/>
        </w:rPr>
        <w:t xml:space="preserve"> customary harvest information, it is assumed that current harvest is </w:t>
      </w:r>
      <w:r w:rsidR="00F969AA">
        <w:rPr>
          <w:rFonts w:ascii="Arial" w:hAnsi="Arial" w:cs="Arial"/>
        </w:rPr>
        <w:t xml:space="preserve">well </w:t>
      </w:r>
      <w:r w:rsidR="00887A9E" w:rsidRPr="00887A9E">
        <w:rPr>
          <w:rFonts w:ascii="Arial" w:hAnsi="Arial" w:cs="Arial"/>
        </w:rPr>
        <w:t>wit</w:t>
      </w:r>
      <w:r w:rsidR="00887A9E">
        <w:rPr>
          <w:rFonts w:ascii="Arial" w:hAnsi="Arial" w:cs="Arial"/>
        </w:rPr>
        <w:t xml:space="preserve">hin </w:t>
      </w:r>
      <w:r>
        <w:rPr>
          <w:rFonts w:ascii="Arial" w:hAnsi="Arial" w:cs="Arial"/>
        </w:rPr>
        <w:t xml:space="preserve">allowance </w:t>
      </w:r>
      <w:r w:rsidR="00887A9E" w:rsidRPr="00887A9E">
        <w:rPr>
          <w:rFonts w:ascii="Arial" w:hAnsi="Arial" w:cs="Arial"/>
        </w:rPr>
        <w:t>for customary Māori interests</w:t>
      </w:r>
      <w:r>
        <w:rPr>
          <w:rFonts w:ascii="Arial" w:hAnsi="Arial" w:cs="Arial"/>
        </w:rPr>
        <w:t xml:space="preserve"> at this time</w:t>
      </w:r>
      <w:r w:rsidR="00887A9E" w:rsidRPr="00887A9E">
        <w:rPr>
          <w:rFonts w:ascii="Arial" w:hAnsi="Arial" w:cs="Arial"/>
        </w:rPr>
        <w:t>.</w:t>
      </w:r>
    </w:p>
    <w:p w14:paraId="6C36C8A1" w14:textId="77777777" w:rsidR="00943466" w:rsidRPr="00887A9E" w:rsidRDefault="00943466" w:rsidP="00943466">
      <w:pPr>
        <w:rPr>
          <w:rFonts w:ascii="Arial" w:hAnsi="Arial" w:cs="Arial"/>
          <w:sz w:val="22"/>
          <w:szCs w:val="22"/>
        </w:rPr>
      </w:pPr>
    </w:p>
    <w:p w14:paraId="463F4321" w14:textId="0320C3C7" w:rsidR="00934235" w:rsidRPr="0055420B" w:rsidRDefault="00934235" w:rsidP="0055420B">
      <w:pPr>
        <w:spacing w:after="60"/>
        <w:contextualSpacing w:val="0"/>
        <w:rPr>
          <w:rFonts w:ascii="Arial Narrow" w:hAnsi="Arial Narrow"/>
          <w:i/>
        </w:rPr>
      </w:pPr>
      <w:r w:rsidRPr="0055420B">
        <w:rPr>
          <w:rFonts w:ascii="Arial Narrow" w:hAnsi="Arial Narrow"/>
          <w:i/>
        </w:rPr>
        <w:t>Recreation</w:t>
      </w:r>
      <w:r w:rsidR="00F51A49" w:rsidRPr="0055420B">
        <w:rPr>
          <w:rFonts w:ascii="Arial Narrow" w:hAnsi="Arial Narrow"/>
          <w:i/>
        </w:rPr>
        <w:t>al fishing</w:t>
      </w:r>
    </w:p>
    <w:p w14:paraId="4D439FE9" w14:textId="0E76F952" w:rsidR="006545D3" w:rsidRPr="0055420B" w:rsidRDefault="006545D3" w:rsidP="006545D3">
      <w:pPr>
        <w:pStyle w:val="ListParagraph"/>
        <w:numPr>
          <w:ilvl w:val="0"/>
          <w:numId w:val="26"/>
        </w:numPr>
        <w:spacing w:after="0" w:line="240" w:lineRule="auto"/>
        <w:ind w:left="567" w:hanging="567"/>
        <w:jc w:val="left"/>
        <w:rPr>
          <w:rFonts w:ascii="Arial" w:hAnsi="Arial" w:cs="Arial"/>
          <w:szCs w:val="20"/>
        </w:rPr>
      </w:pPr>
      <w:r>
        <w:rPr>
          <w:rFonts w:ascii="Arial" w:hAnsi="Arial" w:cs="Arial"/>
        </w:rPr>
        <w:t>No change is proposed to the 85 tonne recreational allowance for CRA 4. While there is uncertainty in the current estimate of recreational catch</w:t>
      </w:r>
      <w:r w:rsidR="006B4070">
        <w:rPr>
          <w:rFonts w:ascii="Arial" w:hAnsi="Arial" w:cs="Arial"/>
        </w:rPr>
        <w:t>,</w:t>
      </w:r>
      <w:r>
        <w:rPr>
          <w:rFonts w:ascii="Arial" w:hAnsi="Arial" w:cs="Arial"/>
        </w:rPr>
        <w:t xml:space="preserve"> it is considered to be well within the current 85 tonne allowance</w:t>
      </w:r>
      <w:r w:rsidR="00A61ED9">
        <w:rPr>
          <w:rFonts w:ascii="Arial" w:hAnsi="Arial" w:cs="Arial"/>
        </w:rPr>
        <w:t>.</w:t>
      </w:r>
    </w:p>
    <w:p w14:paraId="78FC42F6" w14:textId="7871ED24" w:rsidR="0055420B" w:rsidRDefault="0055420B" w:rsidP="0055420B"/>
    <w:p w14:paraId="5EEC729E" w14:textId="0B943B16" w:rsidR="0055420B" w:rsidRDefault="006B4070" w:rsidP="0055420B">
      <w:pPr>
        <w:pStyle w:val="ListParagraph"/>
        <w:numPr>
          <w:ilvl w:val="0"/>
          <w:numId w:val="26"/>
        </w:numPr>
        <w:spacing w:after="0" w:line="240" w:lineRule="auto"/>
        <w:ind w:left="567" w:hanging="567"/>
        <w:jc w:val="left"/>
        <w:rPr>
          <w:rFonts w:ascii="Arial" w:hAnsi="Arial" w:cs="Arial"/>
          <w:szCs w:val="24"/>
        </w:rPr>
      </w:pPr>
      <w:r>
        <w:rPr>
          <w:rFonts w:ascii="Arial" w:hAnsi="Arial" w:cs="Arial"/>
          <w:szCs w:val="24"/>
        </w:rPr>
        <w:t>The 85 tonne recreational allowance was first set in 1999 on the basis of estimates available from surveys at the time, which are now considered to be bias</w:t>
      </w:r>
      <w:r w:rsidR="004F11BA">
        <w:rPr>
          <w:rFonts w:ascii="Arial" w:hAnsi="Arial" w:cs="Arial"/>
          <w:szCs w:val="24"/>
        </w:rPr>
        <w:t>ed</w:t>
      </w:r>
      <w:r w:rsidR="00161ED0">
        <w:rPr>
          <w:rFonts w:ascii="Arial" w:hAnsi="Arial" w:cs="Arial"/>
          <w:szCs w:val="24"/>
        </w:rPr>
        <w:t xml:space="preserve"> and likely to be overestimates</w:t>
      </w:r>
      <w:r>
        <w:rPr>
          <w:rFonts w:ascii="Arial" w:hAnsi="Arial" w:cs="Arial"/>
          <w:szCs w:val="24"/>
        </w:rPr>
        <w:t xml:space="preserve">. </w:t>
      </w:r>
      <w:r w:rsidR="0055420B">
        <w:rPr>
          <w:rFonts w:ascii="Arial" w:hAnsi="Arial" w:cs="Arial"/>
          <w:szCs w:val="24"/>
        </w:rPr>
        <w:t xml:space="preserve">A new </w:t>
      </w:r>
      <w:r>
        <w:rPr>
          <w:rFonts w:ascii="Arial" w:hAnsi="Arial" w:cs="Arial"/>
          <w:szCs w:val="24"/>
        </w:rPr>
        <w:t xml:space="preserve">CRA 4 </w:t>
      </w:r>
      <w:r w:rsidR="0055420B">
        <w:rPr>
          <w:rFonts w:ascii="Arial" w:hAnsi="Arial" w:cs="Arial"/>
          <w:szCs w:val="24"/>
        </w:rPr>
        <w:t>recreational harvest</w:t>
      </w:r>
      <w:r>
        <w:rPr>
          <w:rFonts w:ascii="Arial" w:hAnsi="Arial" w:cs="Arial"/>
          <w:szCs w:val="24"/>
        </w:rPr>
        <w:t xml:space="preserve"> estimate is expected in 2019 </w:t>
      </w:r>
      <w:r w:rsidR="0055420B">
        <w:rPr>
          <w:rFonts w:ascii="Arial" w:hAnsi="Arial" w:cs="Arial"/>
          <w:szCs w:val="24"/>
        </w:rPr>
        <w:t>from the 2017/18 National Panel Survey</w:t>
      </w:r>
      <w:r w:rsidR="00161ED0">
        <w:rPr>
          <w:rFonts w:ascii="Arial" w:hAnsi="Arial" w:cs="Arial"/>
          <w:szCs w:val="24"/>
        </w:rPr>
        <w:t xml:space="preserve"> of</w:t>
      </w:r>
      <w:r>
        <w:rPr>
          <w:rFonts w:ascii="Arial" w:hAnsi="Arial" w:cs="Arial"/>
          <w:szCs w:val="24"/>
        </w:rPr>
        <w:t xml:space="preserve"> recreational harvest</w:t>
      </w:r>
      <w:r w:rsidR="0055420B">
        <w:rPr>
          <w:rFonts w:ascii="Arial" w:hAnsi="Arial" w:cs="Arial"/>
          <w:szCs w:val="24"/>
        </w:rPr>
        <w:t>. This estimate will be considered in future allowance setting</w:t>
      </w:r>
      <w:r w:rsidR="00E21388">
        <w:rPr>
          <w:rFonts w:ascii="Arial" w:hAnsi="Arial" w:cs="Arial"/>
          <w:szCs w:val="24"/>
        </w:rPr>
        <w:t>,</w:t>
      </w:r>
      <w:r w:rsidR="0055420B">
        <w:rPr>
          <w:rFonts w:ascii="Arial" w:hAnsi="Arial" w:cs="Arial"/>
          <w:szCs w:val="24"/>
        </w:rPr>
        <w:t xml:space="preserve"> or </w:t>
      </w:r>
      <w:r>
        <w:rPr>
          <w:rFonts w:ascii="Arial" w:hAnsi="Arial" w:cs="Arial"/>
          <w:szCs w:val="24"/>
        </w:rPr>
        <w:t>in a review of other management controls</w:t>
      </w:r>
      <w:r w:rsidR="004F11BA">
        <w:rPr>
          <w:rFonts w:ascii="Arial" w:hAnsi="Arial" w:cs="Arial"/>
          <w:szCs w:val="24"/>
        </w:rPr>
        <w:t xml:space="preserve"> for recreational fishers</w:t>
      </w:r>
      <w:r w:rsidR="0055420B">
        <w:rPr>
          <w:rFonts w:ascii="Arial" w:hAnsi="Arial" w:cs="Arial"/>
          <w:szCs w:val="24"/>
        </w:rPr>
        <w:t>.</w:t>
      </w:r>
    </w:p>
    <w:p w14:paraId="28BAE0B3" w14:textId="77777777" w:rsidR="006545D3" w:rsidRPr="00793EE3" w:rsidRDefault="006545D3" w:rsidP="00943466">
      <w:pPr>
        <w:rPr>
          <w:rFonts w:ascii="Arial" w:hAnsi="Arial" w:cs="Arial"/>
          <w:sz w:val="22"/>
          <w:szCs w:val="22"/>
        </w:rPr>
      </w:pPr>
    </w:p>
    <w:p w14:paraId="50DD9968" w14:textId="0DF7F2C4" w:rsidR="00943466" w:rsidRPr="0055420B" w:rsidRDefault="00943466" w:rsidP="0055420B">
      <w:pPr>
        <w:spacing w:after="60"/>
        <w:contextualSpacing w:val="0"/>
        <w:rPr>
          <w:rFonts w:ascii="Arial Narrow" w:hAnsi="Arial Narrow"/>
          <w:i/>
        </w:rPr>
      </w:pPr>
      <w:r w:rsidRPr="006545D3">
        <w:rPr>
          <w:rFonts w:ascii="Arial Narrow" w:hAnsi="Arial Narrow"/>
          <w:i/>
        </w:rPr>
        <w:lastRenderedPageBreak/>
        <w:t>Other mortality</w:t>
      </w:r>
    </w:p>
    <w:p w14:paraId="2A0E881F" w14:textId="271AF717" w:rsidR="0077540F" w:rsidRDefault="00435A41" w:rsidP="000E51AE">
      <w:pPr>
        <w:pStyle w:val="ListParagraph"/>
        <w:numPr>
          <w:ilvl w:val="0"/>
          <w:numId w:val="26"/>
        </w:numPr>
        <w:spacing w:after="0" w:line="240" w:lineRule="auto"/>
        <w:ind w:left="567" w:hanging="567"/>
        <w:jc w:val="left"/>
        <w:rPr>
          <w:rFonts w:ascii="Arial" w:hAnsi="Arial" w:cs="Arial"/>
          <w:szCs w:val="20"/>
        </w:rPr>
      </w:pPr>
      <w:r w:rsidRPr="00793EE3">
        <w:rPr>
          <w:rFonts w:ascii="Arial" w:hAnsi="Arial" w:cs="Arial"/>
          <w:szCs w:val="20"/>
        </w:rPr>
        <w:t>I</w:t>
      </w:r>
      <w:r w:rsidR="0077540F" w:rsidRPr="00793EE3">
        <w:rPr>
          <w:rFonts w:ascii="Arial" w:hAnsi="Arial" w:cs="Arial"/>
          <w:szCs w:val="20"/>
        </w:rPr>
        <w:t>t is proposed that the 75 tonne CRA 4 allowance for other sources of fishing-related mortality (i.e. illegal catch</w:t>
      </w:r>
      <w:r w:rsidR="002B71FA">
        <w:rPr>
          <w:rFonts w:ascii="Arial" w:hAnsi="Arial" w:cs="Arial"/>
          <w:szCs w:val="20"/>
        </w:rPr>
        <w:t xml:space="preserve"> and handling mortality</w:t>
      </w:r>
      <w:r w:rsidR="0077540F" w:rsidRPr="00793EE3">
        <w:rPr>
          <w:rFonts w:ascii="Arial" w:hAnsi="Arial" w:cs="Arial"/>
          <w:szCs w:val="20"/>
        </w:rPr>
        <w:t xml:space="preserve">) be reduced to </w:t>
      </w:r>
      <w:r w:rsidR="002B71FA">
        <w:rPr>
          <w:rFonts w:ascii="Arial" w:hAnsi="Arial" w:cs="Arial"/>
          <w:szCs w:val="20"/>
        </w:rPr>
        <w:t>58</w:t>
      </w:r>
      <w:r w:rsidR="0077540F" w:rsidRPr="00793EE3">
        <w:rPr>
          <w:rFonts w:ascii="Arial" w:hAnsi="Arial" w:cs="Arial"/>
          <w:szCs w:val="20"/>
        </w:rPr>
        <w:t xml:space="preserve"> tonnes, to reflect </w:t>
      </w:r>
      <w:r w:rsidR="00F969AA" w:rsidRPr="00793EE3">
        <w:rPr>
          <w:rFonts w:ascii="Arial" w:hAnsi="Arial" w:cs="Arial"/>
          <w:szCs w:val="20"/>
        </w:rPr>
        <w:t xml:space="preserve">more accurately </w:t>
      </w:r>
      <w:r w:rsidR="0077540F" w:rsidRPr="00793EE3">
        <w:rPr>
          <w:rFonts w:ascii="Arial" w:hAnsi="Arial" w:cs="Arial"/>
          <w:szCs w:val="20"/>
        </w:rPr>
        <w:t>the model estimat</w:t>
      </w:r>
      <w:r w:rsidR="002F42FC">
        <w:rPr>
          <w:rFonts w:ascii="Arial" w:hAnsi="Arial" w:cs="Arial"/>
          <w:szCs w:val="20"/>
        </w:rPr>
        <w:t>e used in the stock assessment.</w:t>
      </w:r>
    </w:p>
    <w:p w14:paraId="39951387" w14:textId="77777777" w:rsidR="002F42FC" w:rsidRPr="00793EE3" w:rsidRDefault="002F42FC" w:rsidP="005741F5">
      <w:pPr>
        <w:pStyle w:val="ListParagraph"/>
        <w:spacing w:after="0" w:line="240" w:lineRule="auto"/>
        <w:ind w:left="567"/>
        <w:contextualSpacing w:val="0"/>
        <w:jc w:val="left"/>
        <w:rPr>
          <w:rFonts w:ascii="Arial" w:hAnsi="Arial" w:cs="Arial"/>
          <w:szCs w:val="20"/>
        </w:rPr>
      </w:pPr>
    </w:p>
    <w:p w14:paraId="3C8AAFDA" w14:textId="191E4A64" w:rsidR="00943466" w:rsidRDefault="00943466" w:rsidP="005741F5">
      <w:pPr>
        <w:pStyle w:val="Heading3"/>
        <w:ind w:left="720" w:hanging="720"/>
      </w:pPr>
      <w:r>
        <w:t>T</w:t>
      </w:r>
      <w:r w:rsidR="000129AB">
        <w:t xml:space="preserve">otal </w:t>
      </w:r>
      <w:r>
        <w:t>A</w:t>
      </w:r>
      <w:r w:rsidR="000129AB">
        <w:t xml:space="preserve">llowable </w:t>
      </w:r>
      <w:r>
        <w:t>C</w:t>
      </w:r>
      <w:r w:rsidR="000129AB">
        <w:t xml:space="preserve">ommercial </w:t>
      </w:r>
      <w:r>
        <w:t>C</w:t>
      </w:r>
      <w:r w:rsidR="000129AB">
        <w:t>atch</w:t>
      </w:r>
    </w:p>
    <w:p w14:paraId="2C930C25" w14:textId="77777777" w:rsidR="00F51A49" w:rsidRPr="00F51A49" w:rsidRDefault="00F51A49" w:rsidP="00F51A49">
      <w:pPr>
        <w:rPr>
          <w:rFonts w:ascii="Arial" w:hAnsi="Arial" w:cs="Arial"/>
        </w:rPr>
      </w:pPr>
    </w:p>
    <w:p w14:paraId="35C5ACF9" w14:textId="0CCC4407" w:rsidR="00943466" w:rsidRPr="00CC5049" w:rsidRDefault="00943466" w:rsidP="000E51AE">
      <w:pPr>
        <w:pStyle w:val="ListParagraph"/>
        <w:keepNext/>
        <w:numPr>
          <w:ilvl w:val="0"/>
          <w:numId w:val="26"/>
        </w:numPr>
        <w:spacing w:after="0" w:line="240" w:lineRule="auto"/>
        <w:ind w:left="567" w:hanging="567"/>
        <w:jc w:val="left"/>
        <w:rPr>
          <w:rFonts w:ascii="Arial" w:hAnsi="Arial" w:cs="Arial"/>
          <w:szCs w:val="20"/>
        </w:rPr>
      </w:pPr>
      <w:r w:rsidRPr="00CC5049">
        <w:rPr>
          <w:rFonts w:ascii="Arial" w:hAnsi="Arial" w:cs="Arial"/>
          <w:szCs w:val="20"/>
        </w:rPr>
        <w:t>Under Option CRA4_01</w:t>
      </w:r>
      <w:r w:rsidR="0077540F" w:rsidRPr="00CC5049">
        <w:rPr>
          <w:rFonts w:ascii="Arial" w:hAnsi="Arial" w:cs="Arial"/>
          <w:szCs w:val="20"/>
        </w:rPr>
        <w:t>,</w:t>
      </w:r>
      <w:r w:rsidRPr="00CC5049">
        <w:rPr>
          <w:rFonts w:ascii="Arial" w:hAnsi="Arial" w:cs="Arial"/>
          <w:szCs w:val="20"/>
        </w:rPr>
        <w:t xml:space="preserve"> the CRA 4 TACC would stay at its current level</w:t>
      </w:r>
      <w:r w:rsidR="006B4070">
        <w:rPr>
          <w:rFonts w:ascii="Arial" w:hAnsi="Arial" w:cs="Arial"/>
          <w:szCs w:val="20"/>
        </w:rPr>
        <w:t xml:space="preserve"> of 318.8 tonnes</w:t>
      </w:r>
      <w:r w:rsidRPr="00CC5049">
        <w:rPr>
          <w:rFonts w:ascii="Arial" w:hAnsi="Arial" w:cs="Arial"/>
          <w:szCs w:val="20"/>
        </w:rPr>
        <w:t>. This option would maintain the current level of utilisation of the commercial fishery</w:t>
      </w:r>
      <w:r w:rsidR="00CE3A4C">
        <w:rPr>
          <w:rFonts w:ascii="Arial" w:hAnsi="Arial" w:cs="Arial"/>
          <w:szCs w:val="20"/>
        </w:rPr>
        <w:t>,</w:t>
      </w:r>
      <w:r w:rsidRPr="00CC5049">
        <w:rPr>
          <w:rFonts w:ascii="Arial" w:hAnsi="Arial" w:cs="Arial"/>
          <w:szCs w:val="20"/>
        </w:rPr>
        <w:t xml:space="preserve"> without realising the potential for increased sustainable utilisation opportunities for commercial fishers.</w:t>
      </w:r>
    </w:p>
    <w:p w14:paraId="7B89A279" w14:textId="77777777" w:rsidR="00943466" w:rsidRPr="00887A9E" w:rsidRDefault="00943466" w:rsidP="00943466">
      <w:pPr>
        <w:rPr>
          <w:rFonts w:ascii="Arial" w:hAnsi="Arial" w:cs="Arial"/>
          <w:sz w:val="22"/>
          <w:szCs w:val="22"/>
        </w:rPr>
      </w:pPr>
    </w:p>
    <w:p w14:paraId="0B5B2233" w14:textId="1A638C8C" w:rsidR="00943466" w:rsidRDefault="0054406D" w:rsidP="000E51AE">
      <w:pPr>
        <w:pStyle w:val="ListParagraph"/>
        <w:keepNext/>
        <w:numPr>
          <w:ilvl w:val="0"/>
          <w:numId w:val="26"/>
        </w:numPr>
        <w:spacing w:after="0" w:line="240" w:lineRule="auto"/>
        <w:ind w:left="567" w:hanging="567"/>
        <w:jc w:val="left"/>
        <w:rPr>
          <w:rFonts w:ascii="Arial" w:hAnsi="Arial" w:cs="Arial"/>
          <w:szCs w:val="20"/>
        </w:rPr>
      </w:pPr>
      <w:r w:rsidRPr="00390F23">
        <w:rPr>
          <w:noProof/>
          <w:lang w:eastAsia="en-NZ"/>
        </w:rPr>
        <mc:AlternateContent>
          <mc:Choice Requires="wps">
            <w:drawing>
              <wp:anchor distT="45720" distB="45720" distL="114300" distR="114300" simplePos="0" relativeHeight="251663360" behindDoc="0" locked="0" layoutInCell="1" allowOverlap="1" wp14:anchorId="554F143B" wp14:editId="0FC5B67E">
                <wp:simplePos x="0" y="0"/>
                <wp:positionH relativeFrom="margin">
                  <wp:align>right</wp:align>
                </wp:positionH>
                <wp:positionV relativeFrom="paragraph">
                  <wp:posOffset>1056005</wp:posOffset>
                </wp:positionV>
                <wp:extent cx="5266055" cy="723265"/>
                <wp:effectExtent l="76200" t="76200" r="86995" b="9588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723265"/>
                        </a:xfrm>
                        <a:prstGeom prst="roundRect">
                          <a:avLst/>
                        </a:prstGeom>
                        <a:solidFill>
                          <a:srgbClr val="FFFFFF"/>
                        </a:solidFill>
                        <a:ln w="19050">
                          <a:solidFill>
                            <a:srgbClr val="000000"/>
                          </a:solidFill>
                          <a:miter lim="800000"/>
                          <a:headEnd/>
                          <a:tailEnd/>
                        </a:ln>
                        <a:effectLst>
                          <a:glow rad="63500">
                            <a:schemeClr val="tx1">
                              <a:alpha val="40000"/>
                            </a:schemeClr>
                          </a:glow>
                        </a:effectLst>
                      </wps:spPr>
                      <wps:txbx>
                        <w:txbxContent>
                          <w:p w14:paraId="09EE9645" w14:textId="77777777" w:rsidR="0054406D" w:rsidRPr="00C71340" w:rsidRDefault="0054406D" w:rsidP="0054406D">
                            <w:pPr>
                              <w:spacing w:after="120"/>
                              <w:contextualSpacing w:val="0"/>
                              <w:rPr>
                                <w:rFonts w:ascii="Arial Narrow" w:hAnsi="Arial Narrow"/>
                                <w:b/>
                                <w:szCs w:val="24"/>
                              </w:rPr>
                            </w:pPr>
                            <w:r w:rsidRPr="00C71340">
                              <w:rPr>
                                <w:rFonts w:ascii="Arial Narrow" w:hAnsi="Arial Narrow"/>
                                <w:b/>
                                <w:szCs w:val="24"/>
                                <w:u w:val="single"/>
                              </w:rPr>
                              <w:t>Discussion questions:</w:t>
                            </w:r>
                            <w:r w:rsidRPr="00C71340">
                              <w:rPr>
                                <w:rFonts w:ascii="Arial Narrow" w:hAnsi="Arial Narrow"/>
                                <w:b/>
                                <w:szCs w:val="24"/>
                              </w:rPr>
                              <w:t xml:space="preserve"> </w:t>
                            </w:r>
                          </w:p>
                          <w:p w14:paraId="2107968E" w14:textId="77777777" w:rsidR="0054406D" w:rsidRPr="0054406D" w:rsidRDefault="0054406D" w:rsidP="0054406D">
                            <w:pPr>
                              <w:pStyle w:val="ListParagraph"/>
                              <w:numPr>
                                <w:ilvl w:val="0"/>
                                <w:numId w:val="33"/>
                              </w:numPr>
                              <w:spacing w:after="120" w:line="240" w:lineRule="auto"/>
                              <w:ind w:left="714" w:hanging="357"/>
                              <w:contextualSpacing w:val="0"/>
                              <w:rPr>
                                <w:rFonts w:ascii="Arial Narrow" w:hAnsi="Arial Narrow"/>
                                <w:b/>
                                <w:sz w:val="24"/>
                                <w:szCs w:val="24"/>
                              </w:rPr>
                            </w:pPr>
                            <w:r>
                              <w:rPr>
                                <w:rFonts w:ascii="Arial Narrow" w:hAnsi="Arial Narrow"/>
                                <w:b/>
                                <w:sz w:val="24"/>
                                <w:szCs w:val="24"/>
                              </w:rPr>
                              <w:t>Do you agree that these are the correct options to consider</w:t>
                            </w:r>
                            <w:r w:rsidRPr="00C71340">
                              <w:rPr>
                                <w:rFonts w:ascii="Arial Narrow" w:hAnsi="Arial Narrow"/>
                                <w:b/>
                                <w:sz w:val="24"/>
                                <w:szCs w:val="24"/>
                              </w:rPr>
                              <w:t>?</w:t>
                            </w:r>
                            <w:r>
                              <w:rPr>
                                <w:rFonts w:ascii="Arial Narrow" w:hAnsi="Arial Narrow"/>
                                <w:b/>
                                <w:sz w:val="24"/>
                                <w:szCs w:val="24"/>
                              </w:rPr>
                              <w:t xml:space="preserve"> If not, why not?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4F143B" id="Text Box 4" o:spid="_x0000_s1028" style="position:absolute;left:0;text-align:left;margin-left:363.45pt;margin-top:83.15pt;width:414.65pt;height:56.9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" strokeweight="1.5pt">
                <v:stroke joinstyle="miter"/>
                <v:textbox>
                  <w:txbxContent>
                    <w:p w14:paraId="09EE9645" w14:textId="77777777" w:rsidR="0054406D" w:rsidRPr="00C71340" w:rsidRDefault="0054406D" w:rsidP="0054406D">
                      <w:pPr>
                        <w:spacing w:after="120"/>
                        <w:contextualSpacing w:val="0"/>
                        <w:rPr>
                          <w:rFonts w:ascii="Arial Narrow" w:hAnsi="Arial Narrow"/>
                          <w:b/>
                          <w:szCs w:val="24"/>
                        </w:rPr>
                      </w:pPr>
                      <w:r w:rsidRPr="00C71340">
                        <w:rPr>
                          <w:rFonts w:ascii="Arial Narrow" w:hAnsi="Arial Narrow"/>
                          <w:b/>
                          <w:szCs w:val="24"/>
                          <w:u w:val="single"/>
                        </w:rPr>
                        <w:t>Discussion questions:</w:t>
                      </w:r>
                      <w:r w:rsidRPr="00C71340">
                        <w:rPr>
                          <w:rFonts w:ascii="Arial Narrow" w:hAnsi="Arial Narrow"/>
                          <w:b/>
                          <w:szCs w:val="24"/>
                        </w:rPr>
                        <w:t xml:space="preserve"> </w:t>
                      </w:r>
                    </w:p>
                    <w:p w14:paraId="2107968E" w14:textId="77777777" w:rsidR="0054406D" w:rsidRPr="0054406D" w:rsidRDefault="0054406D" w:rsidP="0054406D">
                      <w:pPr>
                        <w:pStyle w:val="ListParagraph"/>
                        <w:numPr>
                          <w:ilvl w:val="0"/>
                          <w:numId w:val="33"/>
                        </w:numPr>
                        <w:spacing w:after="120" w:line="240" w:lineRule="auto"/>
                        <w:ind w:left="714" w:hanging="357"/>
                        <w:contextualSpacing w:val="0"/>
                        <w:rPr>
                          <w:rFonts w:ascii="Arial Narrow" w:hAnsi="Arial Narrow"/>
                          <w:b/>
                          <w:sz w:val="24"/>
                          <w:szCs w:val="24"/>
                        </w:rPr>
                      </w:pPr>
                      <w:r>
                        <w:rPr>
                          <w:rFonts w:ascii="Arial Narrow" w:hAnsi="Arial Narrow"/>
                          <w:b/>
                          <w:sz w:val="24"/>
                          <w:szCs w:val="24"/>
                        </w:rPr>
                        <w:t>Do you agree that these are the correct options to consider</w:t>
                      </w:r>
                      <w:r w:rsidRPr="00C71340">
                        <w:rPr>
                          <w:rFonts w:ascii="Arial Narrow" w:hAnsi="Arial Narrow"/>
                          <w:b/>
                          <w:sz w:val="24"/>
                          <w:szCs w:val="24"/>
                        </w:rPr>
                        <w:t>?</w:t>
                      </w:r>
                      <w:r>
                        <w:rPr>
                          <w:rFonts w:ascii="Arial Narrow" w:hAnsi="Arial Narrow"/>
                          <w:b/>
                          <w:sz w:val="24"/>
                          <w:szCs w:val="24"/>
                        </w:rPr>
                        <w:t xml:space="preserve"> If not, why not?</w:t>
                      </w:r>
                    </w:p>
                  </w:txbxContent>
                </v:textbox>
                <w10:wrap type="square" anchorx="margin"/>
              </v:roundrect>
            </w:pict>
          </mc:Fallback>
        </mc:AlternateContent>
      </w:r>
      <w:r w:rsidR="00943466" w:rsidRPr="00CC5049">
        <w:rPr>
          <w:rFonts w:ascii="Arial" w:hAnsi="Arial" w:cs="Arial"/>
          <w:szCs w:val="20"/>
        </w:rPr>
        <w:t xml:space="preserve">Under Option CRA4_02, the CRA 4 TACC would be increased to </w:t>
      </w:r>
      <w:r w:rsidR="0077540F" w:rsidRPr="00CC5049">
        <w:rPr>
          <w:rFonts w:ascii="Arial" w:hAnsi="Arial" w:cs="Arial"/>
          <w:szCs w:val="20"/>
        </w:rPr>
        <w:t xml:space="preserve">380 </w:t>
      </w:r>
      <w:r w:rsidR="00943466" w:rsidRPr="00CC5049">
        <w:rPr>
          <w:rFonts w:ascii="Arial" w:hAnsi="Arial" w:cs="Arial"/>
          <w:szCs w:val="20"/>
        </w:rPr>
        <w:t>tonnes from 1 April 201</w:t>
      </w:r>
      <w:r w:rsidR="0077540F" w:rsidRPr="00CC5049">
        <w:rPr>
          <w:rFonts w:ascii="Arial" w:hAnsi="Arial" w:cs="Arial"/>
          <w:szCs w:val="20"/>
        </w:rPr>
        <w:t>9</w:t>
      </w:r>
      <w:r w:rsidR="00943466" w:rsidRPr="00CC5049">
        <w:rPr>
          <w:rFonts w:ascii="Arial" w:hAnsi="Arial" w:cs="Arial"/>
          <w:szCs w:val="20"/>
        </w:rPr>
        <w:t xml:space="preserve">, as guided by the use of the current CRA 4 management procedure. The proposed </w:t>
      </w:r>
      <w:r w:rsidR="0077540F" w:rsidRPr="00CC5049">
        <w:rPr>
          <w:rFonts w:ascii="Arial" w:hAnsi="Arial" w:cs="Arial"/>
          <w:szCs w:val="20"/>
        </w:rPr>
        <w:t xml:space="preserve">61.2 </w:t>
      </w:r>
      <w:r w:rsidR="00943466" w:rsidRPr="00CC5049">
        <w:rPr>
          <w:rFonts w:ascii="Arial" w:hAnsi="Arial" w:cs="Arial"/>
          <w:szCs w:val="20"/>
        </w:rPr>
        <w:t xml:space="preserve">tonne TACC increase has the potential to result in an increase of annual revenue to the catching sector alone of approximately </w:t>
      </w:r>
      <w:r w:rsidR="00943466" w:rsidRPr="00014185">
        <w:rPr>
          <w:rFonts w:ascii="Arial" w:hAnsi="Arial" w:cs="Arial"/>
          <w:szCs w:val="20"/>
        </w:rPr>
        <w:t>$</w:t>
      </w:r>
      <w:r w:rsidR="006C337B">
        <w:rPr>
          <w:rFonts w:ascii="Arial" w:hAnsi="Arial" w:cs="Arial"/>
          <w:szCs w:val="20"/>
        </w:rPr>
        <w:t>4.87</w:t>
      </w:r>
      <w:r w:rsidR="00943466" w:rsidRPr="00CC5049">
        <w:rPr>
          <w:rFonts w:ascii="Arial" w:hAnsi="Arial" w:cs="Arial"/>
          <w:szCs w:val="20"/>
        </w:rPr>
        <w:t xml:space="preserve"> million (based on 2017 average port price information).</w:t>
      </w:r>
      <w:r w:rsidR="00867ABD">
        <w:rPr>
          <w:rStyle w:val="FootnoteReference"/>
          <w:rFonts w:ascii="Arial" w:hAnsi="Arial" w:cs="Arial"/>
          <w:szCs w:val="20"/>
        </w:rPr>
        <w:footnoteReference w:id="15"/>
      </w:r>
    </w:p>
    <w:p w14:paraId="07CF34B2" w14:textId="3E6095E7" w:rsidR="006B4070" w:rsidRPr="006B4070" w:rsidRDefault="006B4070" w:rsidP="006B4070">
      <w:pPr>
        <w:rPr>
          <w:rFonts w:ascii="Arial" w:hAnsi="Arial" w:cs="Arial"/>
          <w:sz w:val="22"/>
          <w:szCs w:val="22"/>
        </w:rPr>
      </w:pPr>
    </w:p>
    <w:p w14:paraId="008738C3" w14:textId="208CB3F9" w:rsidR="006B4070" w:rsidRPr="006B4070" w:rsidRDefault="006B4070" w:rsidP="006B4070">
      <w:pPr>
        <w:rPr>
          <w:rFonts w:ascii="Arial" w:hAnsi="Arial" w:cs="Arial"/>
          <w:sz w:val="22"/>
          <w:szCs w:val="22"/>
        </w:rPr>
      </w:pPr>
    </w:p>
    <w:p w14:paraId="683A9684" w14:textId="30C37508" w:rsidR="006B4070" w:rsidRPr="006B4070" w:rsidRDefault="006B4070" w:rsidP="006B4070">
      <w:pPr>
        <w:rPr>
          <w:rFonts w:ascii="Arial" w:hAnsi="Arial" w:cs="Arial"/>
          <w:sz w:val="22"/>
          <w:szCs w:val="22"/>
        </w:rPr>
      </w:pPr>
    </w:p>
    <w:p w14:paraId="27BA2C5C" w14:textId="2D6DD7E7" w:rsidR="006B4070" w:rsidRPr="006B4070" w:rsidRDefault="006B4070" w:rsidP="006B4070">
      <w:pPr>
        <w:rPr>
          <w:rFonts w:ascii="Arial" w:hAnsi="Arial" w:cs="Arial"/>
          <w:sz w:val="22"/>
          <w:szCs w:val="22"/>
        </w:rPr>
      </w:pPr>
    </w:p>
    <w:p w14:paraId="13A8AE8F" w14:textId="7E98D02C" w:rsidR="002B7E06" w:rsidRDefault="002B7E06" w:rsidP="00887A9E">
      <w:pPr>
        <w:pStyle w:val="Heading1"/>
        <w:numPr>
          <w:ilvl w:val="0"/>
          <w:numId w:val="4"/>
        </w:numPr>
        <w:ind w:left="567" w:hanging="567"/>
      </w:pPr>
      <w:bookmarkStart w:id="92" w:name="_Toc500855037"/>
      <w:bookmarkStart w:id="93" w:name="_Toc501013889"/>
      <w:bookmarkStart w:id="94" w:name="_Toc501526388"/>
      <w:bookmarkStart w:id="95" w:name="_Toc501698636"/>
      <w:bookmarkStart w:id="96" w:name="_Toc503362783"/>
      <w:bookmarkStart w:id="97" w:name="_Toc531692797"/>
      <w:bookmarkStart w:id="98" w:name="_Toc532471894"/>
      <w:bookmarkStart w:id="99" w:name="_Toc469576746"/>
      <w:r>
        <w:t>Review of the CRA 8 (Southern) Rock Lobster Fishery</w:t>
      </w:r>
      <w:bookmarkEnd w:id="92"/>
      <w:bookmarkEnd w:id="93"/>
      <w:bookmarkEnd w:id="94"/>
      <w:bookmarkEnd w:id="95"/>
      <w:bookmarkEnd w:id="96"/>
      <w:bookmarkEnd w:id="97"/>
      <w:bookmarkEnd w:id="98"/>
    </w:p>
    <w:p w14:paraId="66600345" w14:textId="51158D47" w:rsidR="00A61ED9" w:rsidRDefault="00A61ED9" w:rsidP="00A61ED9">
      <w:pPr>
        <w:pStyle w:val="Heading2"/>
        <w:spacing w:after="60"/>
      </w:pPr>
      <w:bookmarkStart w:id="100" w:name="_Toc532471895"/>
      <w:bookmarkStart w:id="101" w:name="_Toc500855038"/>
      <w:bookmarkStart w:id="102" w:name="_Toc501013890"/>
      <w:bookmarkStart w:id="103" w:name="_Toc501526389"/>
      <w:bookmarkStart w:id="104" w:name="_Toc501698637"/>
      <w:bookmarkStart w:id="105" w:name="_Toc503362784"/>
      <w:bookmarkStart w:id="106" w:name="_Toc531692798"/>
      <w:r>
        <w:t>fishery overview</w:t>
      </w:r>
      <w:bookmarkEnd w:id="100"/>
    </w:p>
    <w:p w14:paraId="64B27E82" w14:textId="77777777" w:rsidR="00A61ED9" w:rsidRPr="008E7BB4" w:rsidRDefault="00A61ED9" w:rsidP="00A61ED9">
      <w:pPr>
        <w:spacing w:before="240" w:after="60"/>
        <w:contextualSpacing w:val="0"/>
        <w:rPr>
          <w:rFonts w:ascii="Arial Narrow" w:hAnsi="Arial Narrow"/>
          <w:b/>
        </w:rPr>
      </w:pPr>
      <w:r w:rsidRPr="008E7BB4">
        <w:rPr>
          <w:rFonts w:ascii="Arial Narrow" w:hAnsi="Arial Narrow"/>
          <w:b/>
        </w:rPr>
        <w:t>Māori customary fishing</w:t>
      </w:r>
    </w:p>
    <w:p w14:paraId="2EAC3392" w14:textId="2A991280" w:rsidR="00A61ED9" w:rsidRDefault="00A61ED9" w:rsidP="00A61ED9">
      <w:pPr>
        <w:pStyle w:val="ListParagraph"/>
        <w:numPr>
          <w:ilvl w:val="0"/>
          <w:numId w:val="26"/>
        </w:numPr>
        <w:spacing w:after="0" w:line="240" w:lineRule="auto"/>
        <w:ind w:left="567" w:hanging="567"/>
        <w:jc w:val="left"/>
        <w:rPr>
          <w:rFonts w:ascii="Arial" w:hAnsi="Arial" w:cs="Arial"/>
          <w:szCs w:val="20"/>
        </w:rPr>
      </w:pPr>
      <w:r w:rsidRPr="006B4070">
        <w:rPr>
          <w:rFonts w:ascii="Arial" w:hAnsi="Arial" w:cs="Arial"/>
          <w:szCs w:val="20"/>
        </w:rPr>
        <w:t xml:space="preserve">Rock lobster (koura) is a taonga species for tangata whenua. </w:t>
      </w:r>
      <w:r w:rsidR="006B4070">
        <w:rPr>
          <w:rFonts w:ascii="Arial" w:hAnsi="Arial" w:cs="Arial"/>
          <w:szCs w:val="20"/>
        </w:rPr>
        <w:t xml:space="preserve">Reporting of customary Māori catch of rock lobster is fully operational in the Ngai Tahu rohe moana (including CRA 8). </w:t>
      </w:r>
      <w:r w:rsidR="006B4070" w:rsidRPr="00D57F9F">
        <w:rPr>
          <w:rFonts w:ascii="Arial" w:hAnsi="Arial" w:cs="Arial"/>
          <w:szCs w:val="20"/>
        </w:rPr>
        <w:t xml:space="preserve">In the </w:t>
      </w:r>
      <w:r w:rsidR="006B4070">
        <w:rPr>
          <w:rFonts w:ascii="Arial" w:hAnsi="Arial" w:cs="Arial"/>
          <w:szCs w:val="20"/>
        </w:rPr>
        <w:t>20</w:t>
      </w:r>
      <w:r w:rsidR="006B4070" w:rsidRPr="00D57F9F">
        <w:rPr>
          <w:rFonts w:ascii="Arial" w:hAnsi="Arial" w:cs="Arial"/>
          <w:szCs w:val="20"/>
        </w:rPr>
        <w:t xml:space="preserve">17 fishing year, approximately </w:t>
      </w:r>
      <w:r w:rsidR="006B4070">
        <w:rPr>
          <w:rFonts w:ascii="Arial" w:hAnsi="Arial" w:cs="Arial"/>
          <w:szCs w:val="20"/>
        </w:rPr>
        <w:t>16,500</w:t>
      </w:r>
      <w:r w:rsidR="006B4070" w:rsidRPr="00D57F9F">
        <w:rPr>
          <w:rFonts w:ascii="Arial" w:hAnsi="Arial" w:cs="Arial"/>
          <w:szCs w:val="20"/>
        </w:rPr>
        <w:t xml:space="preserve"> lobsters</w:t>
      </w:r>
      <w:r w:rsidR="00161ED0">
        <w:rPr>
          <w:rFonts w:ascii="Arial" w:hAnsi="Arial" w:cs="Arial"/>
          <w:szCs w:val="20"/>
        </w:rPr>
        <w:t>,</w:t>
      </w:r>
      <w:r w:rsidR="006B4070" w:rsidRPr="00D57F9F">
        <w:rPr>
          <w:rFonts w:ascii="Arial" w:hAnsi="Arial" w:cs="Arial"/>
          <w:szCs w:val="20"/>
        </w:rPr>
        <w:t xml:space="preserve"> </w:t>
      </w:r>
      <w:r w:rsidR="006B4070">
        <w:rPr>
          <w:rFonts w:ascii="Arial" w:hAnsi="Arial" w:cs="Arial"/>
          <w:szCs w:val="20"/>
        </w:rPr>
        <w:t xml:space="preserve">plus 2.3 tonnes </w:t>
      </w:r>
      <w:r w:rsidR="006B4070" w:rsidRPr="00D57F9F">
        <w:rPr>
          <w:rFonts w:ascii="Arial" w:hAnsi="Arial" w:cs="Arial"/>
          <w:szCs w:val="20"/>
        </w:rPr>
        <w:t>were reported as harvested from CRA 8.</w:t>
      </w:r>
    </w:p>
    <w:p w14:paraId="799BDBF7" w14:textId="77777777" w:rsidR="006B4070" w:rsidRDefault="006B4070" w:rsidP="006B4070">
      <w:pPr>
        <w:pStyle w:val="ListParagraph"/>
        <w:spacing w:after="0" w:line="240" w:lineRule="auto"/>
        <w:ind w:left="567"/>
        <w:jc w:val="left"/>
        <w:rPr>
          <w:rFonts w:ascii="Arial" w:hAnsi="Arial" w:cs="Arial"/>
          <w:szCs w:val="20"/>
        </w:rPr>
      </w:pPr>
    </w:p>
    <w:p w14:paraId="1481941F" w14:textId="43E4BC94" w:rsidR="006B4070" w:rsidRPr="006B4070" w:rsidRDefault="006B4070" w:rsidP="006B4070">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An estimate of 10 tonnes was used in the 2015 CRA 8 stock assessment model to represent customary catches.</w:t>
      </w:r>
    </w:p>
    <w:p w14:paraId="1F43228F" w14:textId="7F26B4CD" w:rsidR="00A61ED9" w:rsidRPr="008E7BB4" w:rsidRDefault="00A61ED9" w:rsidP="00A61ED9">
      <w:pPr>
        <w:spacing w:before="240" w:after="60"/>
        <w:contextualSpacing w:val="0"/>
        <w:rPr>
          <w:rFonts w:ascii="Arial Narrow" w:hAnsi="Arial Narrow"/>
          <w:b/>
        </w:rPr>
      </w:pPr>
      <w:r>
        <w:rPr>
          <w:rFonts w:ascii="Arial Narrow" w:hAnsi="Arial Narrow"/>
          <w:b/>
        </w:rPr>
        <w:t>Recreational</w:t>
      </w:r>
      <w:r w:rsidRPr="008E7BB4">
        <w:rPr>
          <w:rFonts w:ascii="Arial Narrow" w:hAnsi="Arial Narrow"/>
          <w:b/>
        </w:rPr>
        <w:t xml:space="preserve"> fishing</w:t>
      </w:r>
    </w:p>
    <w:p w14:paraId="6D919C77" w14:textId="64398FD8" w:rsidR="00A61ED9" w:rsidRPr="006B4070" w:rsidRDefault="00A61ED9" w:rsidP="006B4070">
      <w:pPr>
        <w:pStyle w:val="ListParagraph"/>
        <w:numPr>
          <w:ilvl w:val="0"/>
          <w:numId w:val="26"/>
        </w:numPr>
        <w:spacing w:after="0" w:line="240" w:lineRule="auto"/>
        <w:ind w:left="567" w:hanging="567"/>
        <w:jc w:val="left"/>
        <w:rPr>
          <w:rFonts w:ascii="Arial" w:hAnsi="Arial" w:cs="Arial"/>
          <w:szCs w:val="20"/>
        </w:rPr>
      </w:pPr>
      <w:r w:rsidRPr="006B4070">
        <w:rPr>
          <w:rFonts w:ascii="Arial" w:hAnsi="Arial" w:cs="Arial"/>
          <w:szCs w:val="20"/>
        </w:rPr>
        <w:t>The CRA 8 fishery has a number of areas closed to commercial fishing, which provide non-commercial fishers with exclusive access to rock lobsters. In Fiordland, the inner fiords are closed to commercial rock lobster fishing and were established by the Fiordland Marine Guardians under a ‘gifts’ and ‘gains’ approach.</w:t>
      </w:r>
    </w:p>
    <w:p w14:paraId="062C7D3E" w14:textId="77777777" w:rsidR="00A61ED9" w:rsidRPr="006B4070" w:rsidRDefault="00A61ED9" w:rsidP="006B4070">
      <w:pPr>
        <w:pStyle w:val="ListParagraph"/>
        <w:spacing w:after="0" w:line="240" w:lineRule="auto"/>
        <w:ind w:left="567"/>
        <w:jc w:val="left"/>
        <w:rPr>
          <w:rFonts w:ascii="Arial" w:hAnsi="Arial" w:cs="Arial"/>
          <w:szCs w:val="20"/>
        </w:rPr>
      </w:pPr>
    </w:p>
    <w:p w14:paraId="3683CBE3" w14:textId="77777777" w:rsidR="00C1118A" w:rsidRDefault="00C1118A" w:rsidP="00C1118A">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lastRenderedPageBreak/>
        <w:t>In the 2015 CRA 8 stock assessment, a recreational catch trajectory was constructed as follows: beginning at 1 tonne in 1945 recreational catch was increased to 5 tonnes in 1979, and then from 1979 to 2014 recreational catch was assumed to be a constant 20 tonnes.</w:t>
      </w:r>
      <w:r>
        <w:rPr>
          <w:rFonts w:ascii="Arial" w:hAnsi="Arial" w:cs="Arial"/>
          <w:szCs w:val="20"/>
        </w:rPr>
        <w:t xml:space="preserve"> In addition, an average of 13 tonnes of rock lobsters were taken over the last three April fishing years by commercial fishers for non-commercial purposes (section 111 take).</w:t>
      </w:r>
    </w:p>
    <w:p w14:paraId="74FD5A72" w14:textId="77777777" w:rsidR="00C1118A" w:rsidRDefault="00C1118A" w:rsidP="00C1118A">
      <w:pPr>
        <w:pStyle w:val="ListParagraph"/>
        <w:spacing w:after="0" w:line="240" w:lineRule="auto"/>
        <w:ind w:left="567"/>
        <w:jc w:val="left"/>
        <w:rPr>
          <w:rFonts w:ascii="Arial" w:hAnsi="Arial" w:cs="Arial"/>
          <w:szCs w:val="24"/>
        </w:rPr>
      </w:pPr>
    </w:p>
    <w:p w14:paraId="6ACB0B50" w14:textId="543D533E" w:rsidR="00C1118A" w:rsidRDefault="00C1118A" w:rsidP="00C1118A">
      <w:pPr>
        <w:pStyle w:val="ListParagraph"/>
        <w:numPr>
          <w:ilvl w:val="0"/>
          <w:numId w:val="26"/>
        </w:numPr>
        <w:spacing w:after="0" w:line="240" w:lineRule="auto"/>
        <w:ind w:left="567" w:hanging="567"/>
        <w:jc w:val="left"/>
        <w:rPr>
          <w:rFonts w:ascii="Arial" w:hAnsi="Arial" w:cs="Arial"/>
          <w:szCs w:val="24"/>
        </w:rPr>
      </w:pPr>
      <w:r>
        <w:rPr>
          <w:rFonts w:ascii="Arial" w:hAnsi="Arial" w:cs="Arial"/>
          <w:szCs w:val="24"/>
        </w:rPr>
        <w:t>Overall, l</w:t>
      </w:r>
      <w:r w:rsidRPr="00D57F9F">
        <w:rPr>
          <w:rFonts w:ascii="Arial" w:hAnsi="Arial" w:cs="Arial"/>
          <w:szCs w:val="24"/>
        </w:rPr>
        <w:t>ittle is known about recreational catch in CRA 8. Information from the 2011</w:t>
      </w:r>
      <w:r>
        <w:rPr>
          <w:rFonts w:ascii="Arial" w:hAnsi="Arial" w:cs="Arial"/>
          <w:szCs w:val="24"/>
        </w:rPr>
        <w:t>/</w:t>
      </w:r>
      <w:r w:rsidRPr="00D57F9F">
        <w:rPr>
          <w:rFonts w:ascii="Arial" w:hAnsi="Arial" w:cs="Arial"/>
          <w:szCs w:val="24"/>
        </w:rPr>
        <w:t>12 National Panel Survey estimated that 6.9 tonnes of rock lobster were caught by recreational fishers. Given the low number of fishers and events covered in the survey and the high variance</w:t>
      </w:r>
      <w:r w:rsidRPr="00D57F9F">
        <w:rPr>
          <w:rStyle w:val="FootnoteReference"/>
          <w:rFonts w:ascii="Arial" w:eastAsiaTheme="majorEastAsia" w:hAnsi="Arial" w:cs="Arial"/>
          <w:szCs w:val="24"/>
        </w:rPr>
        <w:footnoteReference w:id="16"/>
      </w:r>
      <w:r w:rsidRPr="00D57F9F">
        <w:rPr>
          <w:rFonts w:ascii="Arial" w:hAnsi="Arial" w:cs="Arial"/>
          <w:szCs w:val="24"/>
        </w:rPr>
        <w:t>, it is assumed that 6.9 tonnes is an underestimate of recreational catch.</w:t>
      </w:r>
    </w:p>
    <w:p w14:paraId="37FECF6A" w14:textId="77777777" w:rsidR="006B4070" w:rsidRPr="006B4070" w:rsidRDefault="006B4070" w:rsidP="006B4070">
      <w:pPr>
        <w:pStyle w:val="ListParagraph"/>
        <w:rPr>
          <w:rFonts w:ascii="Arial" w:hAnsi="Arial" w:cs="Arial"/>
          <w:szCs w:val="24"/>
        </w:rPr>
      </w:pPr>
    </w:p>
    <w:p w14:paraId="206AB06B" w14:textId="095E86E7" w:rsidR="006B4070" w:rsidRDefault="006B4070" w:rsidP="00C1118A">
      <w:pPr>
        <w:pStyle w:val="ListParagraph"/>
        <w:numPr>
          <w:ilvl w:val="0"/>
          <w:numId w:val="26"/>
        </w:numPr>
        <w:spacing w:after="0" w:line="240" w:lineRule="auto"/>
        <w:ind w:left="567" w:hanging="567"/>
        <w:jc w:val="left"/>
        <w:rPr>
          <w:rFonts w:ascii="Arial" w:hAnsi="Arial" w:cs="Arial"/>
          <w:szCs w:val="24"/>
        </w:rPr>
      </w:pPr>
      <w:r>
        <w:rPr>
          <w:rFonts w:ascii="Arial" w:hAnsi="Arial" w:cs="Arial"/>
          <w:szCs w:val="24"/>
        </w:rPr>
        <w:t xml:space="preserve">In the absence of any reliable information, in the 2015 CRA 8 stock assessment </w:t>
      </w:r>
      <w:r w:rsidR="007879A2">
        <w:rPr>
          <w:rFonts w:ascii="Arial" w:hAnsi="Arial" w:cs="Arial"/>
          <w:szCs w:val="24"/>
        </w:rPr>
        <w:t>recreational catch estimates were assumed to be at 1 tonne in 1945 and were increased to 5 tonnes in 1979. A constant estimate of 20 tonnes was assumed from 1979 to 2014.</w:t>
      </w:r>
    </w:p>
    <w:p w14:paraId="70409699" w14:textId="25D01676" w:rsidR="00A61ED9" w:rsidRPr="00C1118A" w:rsidRDefault="00A61ED9" w:rsidP="00C1118A">
      <w:pPr>
        <w:spacing w:before="240" w:after="60"/>
        <w:contextualSpacing w:val="0"/>
        <w:rPr>
          <w:rFonts w:ascii="Arial Narrow" w:hAnsi="Arial Narrow"/>
          <w:b/>
        </w:rPr>
      </w:pPr>
      <w:r w:rsidRPr="00C1118A">
        <w:rPr>
          <w:rFonts w:ascii="Arial Narrow" w:hAnsi="Arial Narrow"/>
          <w:b/>
        </w:rPr>
        <w:t>Other mortality</w:t>
      </w:r>
    </w:p>
    <w:p w14:paraId="0753C947" w14:textId="4574C97F" w:rsidR="00C1118A" w:rsidRPr="00420700" w:rsidRDefault="00C1118A" w:rsidP="00C1118A">
      <w:pPr>
        <w:pStyle w:val="ListParagraph"/>
        <w:keepNext/>
        <w:numPr>
          <w:ilvl w:val="0"/>
          <w:numId w:val="26"/>
        </w:numPr>
        <w:spacing w:after="0" w:line="240" w:lineRule="auto"/>
        <w:ind w:left="567" w:hanging="567"/>
        <w:jc w:val="left"/>
        <w:rPr>
          <w:rFonts w:ascii="Arial" w:hAnsi="Arial" w:cs="Arial"/>
        </w:rPr>
      </w:pPr>
      <w:r w:rsidRPr="00420700">
        <w:rPr>
          <w:rFonts w:ascii="Arial" w:hAnsi="Arial" w:cs="Arial"/>
        </w:rPr>
        <w:t>There are various potential other sources of mortality caused by fishing, suc</w:t>
      </w:r>
      <w:r w:rsidR="00161801">
        <w:rPr>
          <w:rFonts w:ascii="Arial" w:hAnsi="Arial" w:cs="Arial"/>
        </w:rPr>
        <w:t>h as illegal catch and handling-</w:t>
      </w:r>
      <w:r w:rsidRPr="00420700">
        <w:rPr>
          <w:rFonts w:ascii="Arial" w:hAnsi="Arial" w:cs="Arial"/>
        </w:rPr>
        <w:t xml:space="preserve">related mortality. It is difficult for Fisheries New Zealand to get an accurate estimate of illegal catch given that illegal activity is not easily detected. </w:t>
      </w:r>
      <w:r w:rsidRPr="00420700">
        <w:rPr>
          <w:rFonts w:ascii="Arial" w:hAnsi="Arial" w:cs="Arial"/>
          <w:szCs w:val="24"/>
        </w:rPr>
        <w:t xml:space="preserve">However, the Rock Lobster Fisheries Assessment Working Group used available estimates from 1990 to 2002 in the 2015 stock assessment model to estimate illegal catches. </w:t>
      </w:r>
      <w:r w:rsidRPr="00420700">
        <w:rPr>
          <w:rFonts w:ascii="Arial" w:hAnsi="Arial" w:cs="Arial"/>
        </w:rPr>
        <w:t xml:space="preserve">An estimate of 3 tonnes was used from 2011 to 2014, with the missing years from 2003 to 2010 filled in by scaling the illegal catch down from the 18 tonnes estimated for 2002. </w:t>
      </w:r>
    </w:p>
    <w:p w14:paraId="4751227B" w14:textId="51040709" w:rsidR="00C1118A" w:rsidRPr="00C1118A" w:rsidRDefault="00C1118A" w:rsidP="00C1118A">
      <w:pPr>
        <w:spacing w:before="240" w:after="60"/>
        <w:contextualSpacing w:val="0"/>
        <w:rPr>
          <w:rFonts w:ascii="Arial Narrow" w:hAnsi="Arial Narrow"/>
          <w:b/>
        </w:rPr>
      </w:pPr>
      <w:r>
        <w:rPr>
          <w:rFonts w:ascii="Arial Narrow" w:hAnsi="Arial Narrow"/>
          <w:b/>
        </w:rPr>
        <w:t>Commercial</w:t>
      </w:r>
      <w:r w:rsidR="0055420B">
        <w:rPr>
          <w:rFonts w:ascii="Arial Narrow" w:hAnsi="Arial Narrow"/>
          <w:b/>
        </w:rPr>
        <w:t xml:space="preserve"> fishing</w:t>
      </w:r>
    </w:p>
    <w:p w14:paraId="12917C54" w14:textId="1F71B079" w:rsidR="00C1118A" w:rsidRDefault="00C1118A" w:rsidP="00C1118A">
      <w:pPr>
        <w:pStyle w:val="ListParagraph"/>
        <w:numPr>
          <w:ilvl w:val="0"/>
          <w:numId w:val="26"/>
        </w:numPr>
        <w:spacing w:after="0" w:line="240" w:lineRule="auto"/>
        <w:ind w:left="567" w:hanging="567"/>
        <w:jc w:val="left"/>
        <w:rPr>
          <w:rFonts w:ascii="Arial" w:hAnsi="Arial" w:cs="Arial"/>
          <w:szCs w:val="24"/>
        </w:rPr>
      </w:pPr>
      <w:r>
        <w:rPr>
          <w:rFonts w:ascii="Arial" w:hAnsi="Arial" w:cs="Arial"/>
          <w:szCs w:val="24"/>
        </w:rPr>
        <w:t xml:space="preserve">Fisheries New Zealand estimates the current asset value of the CRA 8 </w:t>
      </w:r>
      <w:r w:rsidR="00161ED0">
        <w:rPr>
          <w:rFonts w:ascii="Arial" w:hAnsi="Arial" w:cs="Arial"/>
          <w:szCs w:val="24"/>
        </w:rPr>
        <w:t xml:space="preserve">fishery </w:t>
      </w:r>
      <w:r>
        <w:rPr>
          <w:rFonts w:ascii="Arial" w:hAnsi="Arial" w:cs="Arial"/>
          <w:szCs w:val="24"/>
        </w:rPr>
        <w:t xml:space="preserve">to be </w:t>
      </w:r>
      <w:r w:rsidR="007879A2">
        <w:rPr>
          <w:rFonts w:ascii="Arial" w:hAnsi="Arial" w:cs="Arial"/>
          <w:szCs w:val="24"/>
        </w:rPr>
        <w:t>over $1.37 b</w:t>
      </w:r>
      <w:r>
        <w:rPr>
          <w:rFonts w:ascii="Arial" w:hAnsi="Arial" w:cs="Arial"/>
          <w:szCs w:val="24"/>
        </w:rPr>
        <w:t xml:space="preserve">illion based </w:t>
      </w:r>
      <w:r w:rsidR="007879A2">
        <w:rPr>
          <w:rFonts w:ascii="Arial" w:hAnsi="Arial" w:cs="Arial"/>
          <w:szCs w:val="24"/>
        </w:rPr>
        <w:t>on the current TACC and the 2017/18</w:t>
      </w:r>
      <w:r>
        <w:rPr>
          <w:rFonts w:ascii="Arial" w:hAnsi="Arial" w:cs="Arial"/>
          <w:szCs w:val="24"/>
        </w:rPr>
        <w:t xml:space="preserve"> </w:t>
      </w:r>
      <w:r w:rsidR="007879A2">
        <w:rPr>
          <w:rFonts w:ascii="Arial" w:hAnsi="Arial" w:cs="Arial"/>
          <w:szCs w:val="24"/>
        </w:rPr>
        <w:t xml:space="preserve">average </w:t>
      </w:r>
      <w:r>
        <w:rPr>
          <w:rFonts w:ascii="Arial" w:hAnsi="Arial" w:cs="Arial"/>
          <w:szCs w:val="24"/>
        </w:rPr>
        <w:t xml:space="preserve">quota share price. The average Annual Catch Entitlement (ACE) value (the earnings quota owners receive when </w:t>
      </w:r>
      <w:r w:rsidR="007879A2">
        <w:rPr>
          <w:rFonts w:ascii="Arial" w:hAnsi="Arial" w:cs="Arial"/>
          <w:szCs w:val="24"/>
        </w:rPr>
        <w:t>setting their ACE) for the 2017/18 fishing year was $47,217</w:t>
      </w:r>
      <w:r>
        <w:rPr>
          <w:rFonts w:ascii="Arial" w:hAnsi="Arial" w:cs="Arial"/>
          <w:szCs w:val="24"/>
        </w:rPr>
        <w:t xml:space="preserve"> per tonne for CRA 8.</w:t>
      </w:r>
    </w:p>
    <w:p w14:paraId="4112654E" w14:textId="77777777" w:rsidR="00C1118A" w:rsidRPr="007879A2" w:rsidRDefault="00C1118A" w:rsidP="00C1118A">
      <w:pPr>
        <w:rPr>
          <w:rFonts w:ascii="Arial" w:hAnsi="Arial" w:cs="Arial"/>
          <w:sz w:val="22"/>
          <w:szCs w:val="22"/>
        </w:rPr>
      </w:pPr>
    </w:p>
    <w:p w14:paraId="5A0496B1" w14:textId="6046CFAA" w:rsidR="00C1118A" w:rsidRPr="0055420B" w:rsidRDefault="00C1118A" w:rsidP="00C1118A">
      <w:pPr>
        <w:pStyle w:val="ListParagraph"/>
        <w:numPr>
          <w:ilvl w:val="0"/>
          <w:numId w:val="26"/>
        </w:numPr>
        <w:spacing w:after="0" w:line="240" w:lineRule="auto"/>
        <w:ind w:left="567" w:hanging="567"/>
        <w:jc w:val="left"/>
        <w:rPr>
          <w:rFonts w:ascii="Arial" w:hAnsi="Arial" w:cs="Arial"/>
        </w:rPr>
      </w:pPr>
      <w:r w:rsidRPr="0055420B">
        <w:rPr>
          <w:rFonts w:ascii="Arial" w:hAnsi="Arial" w:cs="Arial"/>
        </w:rPr>
        <w:t xml:space="preserve">Annual landings and the TACCs for CRA 8 since 1990 are shown in Figure </w:t>
      </w:r>
      <w:r w:rsidR="00756AD5" w:rsidRPr="0055420B">
        <w:rPr>
          <w:rFonts w:ascii="Arial" w:hAnsi="Arial" w:cs="Arial"/>
        </w:rPr>
        <w:t>10</w:t>
      </w:r>
      <w:r w:rsidRPr="0055420B">
        <w:rPr>
          <w:rFonts w:ascii="Arial" w:hAnsi="Arial" w:cs="Arial"/>
        </w:rPr>
        <w:t xml:space="preserve">. </w:t>
      </w:r>
      <w:r w:rsidR="00161ED0">
        <w:rPr>
          <w:rFonts w:ascii="Arial" w:hAnsi="Arial" w:cs="Arial"/>
        </w:rPr>
        <w:t xml:space="preserve">Prior to 1995, there was a New Zealand wide stock assessment with catches apportioned to each Quota Management Area, and TACCs were not set on an annual basis to reflect available abundance. </w:t>
      </w:r>
      <w:r w:rsidRPr="0055420B">
        <w:rPr>
          <w:rFonts w:ascii="Arial" w:hAnsi="Arial" w:cs="Arial"/>
        </w:rPr>
        <w:t>Since 1996 a management procedure has</w:t>
      </w:r>
      <w:r w:rsidR="000C4B0D" w:rsidRPr="0055420B">
        <w:rPr>
          <w:rFonts w:ascii="Arial" w:hAnsi="Arial" w:cs="Arial"/>
        </w:rPr>
        <w:t xml:space="preserve"> been used in CRA 8 to</w:t>
      </w:r>
      <w:r w:rsidRPr="0055420B">
        <w:rPr>
          <w:rFonts w:ascii="Arial" w:hAnsi="Arial" w:cs="Arial"/>
        </w:rPr>
        <w:t xml:space="preserve"> review the TACC </w:t>
      </w:r>
      <w:r w:rsidR="000C4B0D" w:rsidRPr="0055420B">
        <w:rPr>
          <w:rFonts w:ascii="Arial" w:hAnsi="Arial" w:cs="Arial"/>
        </w:rPr>
        <w:t xml:space="preserve">annually </w:t>
      </w:r>
      <w:r w:rsidRPr="0055420B">
        <w:rPr>
          <w:rFonts w:ascii="Arial" w:hAnsi="Arial" w:cs="Arial"/>
        </w:rPr>
        <w:t>to ensure catches reflect available abundance.</w:t>
      </w:r>
    </w:p>
    <w:p w14:paraId="4C6D8BF0" w14:textId="77777777" w:rsidR="00C1118A" w:rsidRDefault="00C1118A" w:rsidP="0055420B">
      <w:pPr>
        <w:spacing w:after="120"/>
        <w:contextualSpacing w:val="0"/>
        <w:rPr>
          <w:rFonts w:ascii="Arial Narrow" w:hAnsi="Arial Narrow"/>
          <w:b/>
        </w:rPr>
      </w:pPr>
      <w:r>
        <w:rPr>
          <w:noProof/>
          <w:lang w:eastAsia="en-NZ"/>
        </w:rPr>
        <w:lastRenderedPageBreak/>
        <w:drawing>
          <wp:inline distT="0" distB="0" distL="0" distR="0" wp14:anchorId="51936CAA" wp14:editId="1FBC840F">
            <wp:extent cx="5731510" cy="2452209"/>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A8.jpeg"/>
                    <pic:cNvPicPr/>
                  </pic:nvPicPr>
                  <pic:blipFill>
                    <a:blip r:embed="rId34">
                      <a:extLst>
                        <a:ext uri="{28A0092B-C50C-407E-A947-70E740481C1C}">
                          <a14:useLocalDpi xmlns:a14="http://schemas.microsoft.com/office/drawing/2010/main" val="0"/>
                        </a:ext>
                      </a:extLst>
                    </a:blip>
                    <a:stretch>
                      <a:fillRect/>
                    </a:stretch>
                  </pic:blipFill>
                  <pic:spPr>
                    <a:xfrm>
                      <a:off x="0" y="0"/>
                      <a:ext cx="5731510" cy="2452209"/>
                    </a:xfrm>
                    <a:prstGeom prst="rect">
                      <a:avLst/>
                    </a:prstGeom>
                  </pic:spPr>
                </pic:pic>
              </a:graphicData>
            </a:graphic>
          </wp:inline>
        </w:drawing>
      </w:r>
    </w:p>
    <w:p w14:paraId="219E50EE" w14:textId="5D52152E" w:rsidR="00C1118A" w:rsidRPr="00F1729B" w:rsidRDefault="00C1118A" w:rsidP="0055420B">
      <w:pPr>
        <w:spacing w:before="120"/>
        <w:contextualSpacing w:val="0"/>
        <w:rPr>
          <w:rFonts w:ascii="Arial Narrow" w:hAnsi="Arial Narrow"/>
          <w:b/>
        </w:rPr>
      </w:pPr>
      <w:r w:rsidRPr="00CE4AE5">
        <w:rPr>
          <w:rFonts w:ascii="Arial Narrow" w:hAnsi="Arial Narrow"/>
          <w:b/>
          <w:sz w:val="22"/>
        </w:rPr>
        <w:t xml:space="preserve">Figure </w:t>
      </w:r>
      <w:r w:rsidR="00756AD5">
        <w:rPr>
          <w:rFonts w:ascii="Arial Narrow" w:hAnsi="Arial Narrow"/>
          <w:b/>
          <w:sz w:val="22"/>
        </w:rPr>
        <w:t>10</w:t>
      </w:r>
      <w:r w:rsidRPr="00CE4AE5">
        <w:rPr>
          <w:rFonts w:ascii="Arial Narrow" w:hAnsi="Arial Narrow"/>
          <w:b/>
          <w:sz w:val="22"/>
        </w:rPr>
        <w:t>: CRA 8 commercial landings and TACCs</w:t>
      </w:r>
      <w:r>
        <w:rPr>
          <w:rFonts w:ascii="Arial Narrow" w:hAnsi="Arial Narrow"/>
          <w:b/>
          <w:sz w:val="22"/>
        </w:rPr>
        <w:t xml:space="preserve"> from 1990 to</w:t>
      </w:r>
      <w:r w:rsidR="007879A2">
        <w:rPr>
          <w:rFonts w:ascii="Arial Narrow" w:hAnsi="Arial Narrow"/>
          <w:b/>
          <w:sz w:val="22"/>
        </w:rPr>
        <w:t xml:space="preserve"> 2017</w:t>
      </w:r>
      <w:r w:rsidRPr="00CE4AE5">
        <w:rPr>
          <w:rFonts w:ascii="Arial Narrow" w:hAnsi="Arial Narrow"/>
          <w:b/>
          <w:sz w:val="22"/>
        </w:rPr>
        <w:t>.</w:t>
      </w:r>
    </w:p>
    <w:p w14:paraId="7BB7ECCE" w14:textId="77777777" w:rsidR="00C1118A" w:rsidRPr="00C1118A" w:rsidRDefault="00C1118A" w:rsidP="00C1118A">
      <w:pPr>
        <w:rPr>
          <w:rFonts w:ascii="Arial" w:hAnsi="Arial" w:cs="Arial"/>
          <w:szCs w:val="24"/>
        </w:rPr>
      </w:pPr>
    </w:p>
    <w:p w14:paraId="493D6211" w14:textId="77777777" w:rsidR="002B7E06" w:rsidRDefault="002B7E06" w:rsidP="00887A9E">
      <w:pPr>
        <w:pStyle w:val="Heading2"/>
        <w:spacing w:after="60"/>
      </w:pPr>
      <w:bookmarkStart w:id="107" w:name="_Toc532471896"/>
      <w:r>
        <w:t>CRA 8 Stock Status</w:t>
      </w:r>
      <w:bookmarkEnd w:id="101"/>
      <w:bookmarkEnd w:id="102"/>
      <w:bookmarkEnd w:id="103"/>
      <w:bookmarkEnd w:id="104"/>
      <w:bookmarkEnd w:id="105"/>
      <w:bookmarkEnd w:id="106"/>
      <w:bookmarkEnd w:id="107"/>
    </w:p>
    <w:p w14:paraId="52E7EFE8" w14:textId="5B1F1A63" w:rsidR="002B7E06" w:rsidRPr="000C4B0D" w:rsidRDefault="002B7E06" w:rsidP="000E51AE">
      <w:pPr>
        <w:pStyle w:val="ListParagraph"/>
        <w:numPr>
          <w:ilvl w:val="0"/>
          <w:numId w:val="26"/>
        </w:numPr>
        <w:spacing w:after="0" w:line="240" w:lineRule="auto"/>
        <w:ind w:left="567" w:hanging="567"/>
        <w:jc w:val="left"/>
        <w:rPr>
          <w:rFonts w:ascii="Arial" w:hAnsi="Arial" w:cs="Arial"/>
          <w:szCs w:val="24"/>
        </w:rPr>
      </w:pPr>
      <w:r w:rsidRPr="000C4B0D">
        <w:rPr>
          <w:rFonts w:ascii="Arial" w:hAnsi="Arial" w:cs="Arial"/>
          <w:szCs w:val="24"/>
        </w:rPr>
        <w:t>The results of the CRA 8 stock assessment carried out in 2015 suggest</w:t>
      </w:r>
      <w:r w:rsidR="00CE3A4C" w:rsidRPr="000C4B0D">
        <w:rPr>
          <w:rFonts w:ascii="Arial" w:hAnsi="Arial" w:cs="Arial"/>
          <w:szCs w:val="24"/>
        </w:rPr>
        <w:t>ed</w:t>
      </w:r>
      <w:r w:rsidRPr="000C4B0D">
        <w:rPr>
          <w:rFonts w:ascii="Arial" w:hAnsi="Arial" w:cs="Arial"/>
          <w:szCs w:val="24"/>
        </w:rPr>
        <w:t xml:space="preserve"> that there are no sustainability concerns for the CRA 8 fishery. Stock biomass in 2015 was 1.4 times the agreed reference level, </w:t>
      </w:r>
      <w:r w:rsidRPr="000C4B0D">
        <w:rPr>
          <w:rFonts w:ascii="Arial" w:hAnsi="Arial" w:cs="Arial"/>
          <w:i/>
          <w:szCs w:val="24"/>
        </w:rPr>
        <w:t>B</w:t>
      </w:r>
      <w:r w:rsidRPr="000C4B0D">
        <w:rPr>
          <w:rFonts w:ascii="Arial" w:hAnsi="Arial" w:cs="Arial"/>
          <w:i/>
          <w:szCs w:val="24"/>
          <w:vertAlign w:val="subscript"/>
        </w:rPr>
        <w:t>REF</w:t>
      </w:r>
      <w:r w:rsidRPr="000C4B0D">
        <w:rPr>
          <w:rFonts w:ascii="Arial" w:hAnsi="Arial" w:cs="Arial"/>
          <w:szCs w:val="24"/>
        </w:rPr>
        <w:t>.</w:t>
      </w:r>
      <w:r w:rsidRPr="000C4B0D">
        <w:rPr>
          <w:rStyle w:val="FootnoteReference"/>
          <w:rFonts w:ascii="Arial" w:eastAsiaTheme="majorEastAsia" w:hAnsi="Arial" w:cs="Arial"/>
          <w:szCs w:val="24"/>
        </w:rPr>
        <w:footnoteReference w:id="17"/>
      </w:r>
      <w:r w:rsidRPr="000C4B0D">
        <w:rPr>
          <w:rFonts w:ascii="Arial" w:hAnsi="Arial" w:cs="Arial"/>
          <w:szCs w:val="24"/>
        </w:rPr>
        <w:t xml:space="preserve"> Spawning stock biomass in 2015 was 44% of the unfished level, well above the soft limit (20% of the unfished level) where it is </w:t>
      </w:r>
      <w:r w:rsidR="00556109" w:rsidRPr="000C4B0D">
        <w:rPr>
          <w:rFonts w:ascii="Arial" w:hAnsi="Arial" w:cs="Arial"/>
          <w:szCs w:val="24"/>
        </w:rPr>
        <w:t>Fisheries New Zealand</w:t>
      </w:r>
      <w:r w:rsidRPr="000C4B0D">
        <w:rPr>
          <w:rFonts w:ascii="Arial" w:hAnsi="Arial" w:cs="Arial"/>
          <w:szCs w:val="24"/>
        </w:rPr>
        <w:t xml:space="preserve"> policy to implement a rebuild plan.</w:t>
      </w:r>
    </w:p>
    <w:p w14:paraId="26EB66EF" w14:textId="77777777" w:rsidR="002B7E06" w:rsidRPr="000C4B0D" w:rsidRDefault="002B7E06" w:rsidP="002B7E06">
      <w:pPr>
        <w:ind w:left="567" w:hanging="567"/>
        <w:rPr>
          <w:rFonts w:ascii="Arial" w:hAnsi="Arial" w:cs="Arial"/>
          <w:sz w:val="22"/>
          <w:szCs w:val="24"/>
        </w:rPr>
      </w:pPr>
    </w:p>
    <w:p w14:paraId="2FD89586" w14:textId="64439DCC" w:rsidR="002B7E06" w:rsidRPr="000C4B0D" w:rsidRDefault="002B7E06" w:rsidP="00CE4AE5">
      <w:pPr>
        <w:pStyle w:val="ListParagraph"/>
        <w:numPr>
          <w:ilvl w:val="0"/>
          <w:numId w:val="26"/>
        </w:numPr>
        <w:spacing w:after="0" w:line="240" w:lineRule="auto"/>
        <w:ind w:left="567" w:hanging="567"/>
        <w:jc w:val="left"/>
        <w:rPr>
          <w:rFonts w:ascii="Arial" w:hAnsi="Arial" w:cs="Arial"/>
          <w:szCs w:val="24"/>
        </w:rPr>
      </w:pPr>
      <w:r w:rsidRPr="000C4B0D">
        <w:rPr>
          <w:rFonts w:ascii="Arial" w:hAnsi="Arial" w:cs="Arial"/>
          <w:szCs w:val="24"/>
        </w:rPr>
        <w:t xml:space="preserve">Standardised CPUE is considered to be a reliable indicator of relative stock size in CRA 8 and is the abundance indicator used in the CRA 8 management procedure. The CPUE type used for CRA 8 is unique in that it relates only to the fish that were landed and does not consider fish that were of legal size but were legally returned to the water. Unlike other rock </w:t>
      </w:r>
      <w:r w:rsidR="00F969AA" w:rsidRPr="000C4B0D">
        <w:rPr>
          <w:rFonts w:ascii="Arial" w:hAnsi="Arial" w:cs="Arial"/>
          <w:szCs w:val="24"/>
        </w:rPr>
        <w:t xml:space="preserve">lobster fisheries, a lot of </w:t>
      </w:r>
      <w:r w:rsidRPr="000C4B0D">
        <w:rPr>
          <w:rFonts w:ascii="Arial" w:hAnsi="Arial" w:cs="Arial"/>
          <w:szCs w:val="24"/>
        </w:rPr>
        <w:t>fish are returned to the water in CRA 8: an estimated 40% by weight.</w:t>
      </w:r>
    </w:p>
    <w:p w14:paraId="22ED0016" w14:textId="77777777" w:rsidR="002B7E06" w:rsidRPr="000C4B0D" w:rsidRDefault="002B7E06" w:rsidP="002B7E06">
      <w:pPr>
        <w:ind w:left="567" w:hanging="567"/>
        <w:rPr>
          <w:rFonts w:ascii="Arial" w:hAnsi="Arial" w:cs="Arial"/>
          <w:sz w:val="22"/>
          <w:szCs w:val="24"/>
        </w:rPr>
      </w:pPr>
    </w:p>
    <w:p w14:paraId="79290DA0" w14:textId="0FD41F3F" w:rsidR="002B7E06" w:rsidRPr="000C4B0D" w:rsidRDefault="002B7E06" w:rsidP="00CE4AE5">
      <w:pPr>
        <w:pStyle w:val="ListParagraph"/>
        <w:numPr>
          <w:ilvl w:val="0"/>
          <w:numId w:val="26"/>
        </w:numPr>
        <w:spacing w:after="0" w:line="240" w:lineRule="auto"/>
        <w:ind w:left="567" w:hanging="567"/>
        <w:jc w:val="left"/>
        <w:rPr>
          <w:rFonts w:ascii="Arial" w:hAnsi="Arial" w:cs="Arial"/>
          <w:b/>
          <w:szCs w:val="24"/>
        </w:rPr>
      </w:pPr>
      <w:r w:rsidRPr="000C4B0D">
        <w:rPr>
          <w:rFonts w:ascii="Arial" w:hAnsi="Arial" w:cs="Arial"/>
          <w:szCs w:val="24"/>
        </w:rPr>
        <w:t>The history of CRA 8 commercial CPUE is shown in Figure </w:t>
      </w:r>
      <w:r w:rsidR="00756AD5">
        <w:rPr>
          <w:rFonts w:ascii="Arial" w:hAnsi="Arial" w:cs="Arial"/>
          <w:szCs w:val="24"/>
        </w:rPr>
        <w:t>11</w:t>
      </w:r>
      <w:r w:rsidRPr="000C4B0D">
        <w:rPr>
          <w:rFonts w:ascii="Arial" w:hAnsi="Arial" w:cs="Arial"/>
          <w:szCs w:val="24"/>
        </w:rPr>
        <w:t>. CPUE incr</w:t>
      </w:r>
      <w:r w:rsidR="000C4B0D" w:rsidRPr="000C4B0D">
        <w:rPr>
          <w:rFonts w:ascii="Arial" w:hAnsi="Arial" w:cs="Arial"/>
          <w:szCs w:val="24"/>
        </w:rPr>
        <w:t>eased steadily from 1998</w:t>
      </w:r>
      <w:r w:rsidRPr="000C4B0D">
        <w:rPr>
          <w:rFonts w:ascii="Arial" w:hAnsi="Arial" w:cs="Arial"/>
          <w:szCs w:val="24"/>
        </w:rPr>
        <w:t xml:space="preserve"> to 2012, declined slightly before increasing again from 2011</w:t>
      </w:r>
      <w:r w:rsidR="00CE3A4C" w:rsidRPr="000C4B0D">
        <w:rPr>
          <w:rFonts w:ascii="Arial" w:hAnsi="Arial" w:cs="Arial"/>
          <w:szCs w:val="24"/>
        </w:rPr>
        <w:t xml:space="preserve"> to a CPUE of 4.2 kg/potlift in 2018 (the highest CPUE in the observed history).</w:t>
      </w:r>
    </w:p>
    <w:p w14:paraId="36FCB7D3" w14:textId="77777777" w:rsidR="002B7E06" w:rsidRPr="000C4B0D" w:rsidRDefault="002B7E06" w:rsidP="002B7E06">
      <w:pPr>
        <w:rPr>
          <w:rFonts w:ascii="Arial" w:hAnsi="Arial" w:cs="Arial"/>
        </w:rPr>
      </w:pPr>
    </w:p>
    <w:p w14:paraId="1824E781" w14:textId="74107D91" w:rsidR="002B7E06" w:rsidRPr="00C11247" w:rsidRDefault="00CE29B5" w:rsidP="002B7E06">
      <w:pPr>
        <w:rPr>
          <w:noProof/>
          <w:lang w:eastAsia="en-NZ"/>
        </w:rPr>
      </w:pPr>
      <w:r w:rsidRPr="00CE29B5">
        <w:rPr>
          <w:noProof/>
          <w:lang w:eastAsia="en-NZ"/>
        </w:rPr>
        <w:lastRenderedPageBreak/>
        <w:drawing>
          <wp:inline distT="0" distB="0" distL="0" distR="0" wp14:anchorId="37AE21EE" wp14:editId="01859101">
            <wp:extent cx="5731510" cy="34385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438525"/>
                    </a:xfrm>
                    <a:prstGeom prst="rect">
                      <a:avLst/>
                    </a:prstGeom>
                  </pic:spPr>
                </pic:pic>
              </a:graphicData>
            </a:graphic>
          </wp:inline>
        </w:drawing>
      </w:r>
    </w:p>
    <w:p w14:paraId="479B924C" w14:textId="7DEB0A0B" w:rsidR="002B7E06" w:rsidRPr="00014185" w:rsidRDefault="0080463D" w:rsidP="007D1930">
      <w:pPr>
        <w:spacing w:before="120"/>
        <w:contextualSpacing w:val="0"/>
        <w:rPr>
          <w:rFonts w:ascii="Arial Narrow" w:hAnsi="Arial Narrow"/>
          <w:b/>
          <w:sz w:val="22"/>
        </w:rPr>
      </w:pPr>
      <w:r w:rsidRPr="00014185">
        <w:rPr>
          <w:rFonts w:ascii="Arial Narrow" w:hAnsi="Arial Narrow"/>
          <w:b/>
          <w:sz w:val="22"/>
        </w:rPr>
        <w:t xml:space="preserve">Figure </w:t>
      </w:r>
      <w:r w:rsidR="00756AD5">
        <w:rPr>
          <w:rFonts w:ascii="Arial Narrow" w:hAnsi="Arial Narrow"/>
          <w:b/>
          <w:sz w:val="22"/>
        </w:rPr>
        <w:t>11</w:t>
      </w:r>
      <w:r w:rsidR="002B7E06" w:rsidRPr="00014185">
        <w:rPr>
          <w:rFonts w:ascii="Arial Narrow" w:hAnsi="Arial Narrow"/>
          <w:b/>
          <w:sz w:val="22"/>
        </w:rPr>
        <w:t xml:space="preserve">: </w:t>
      </w:r>
      <w:r w:rsidR="00CE3A4C" w:rsidRPr="00014185">
        <w:rPr>
          <w:rFonts w:ascii="Arial Narrow" w:hAnsi="Arial Narrow"/>
          <w:b/>
          <w:sz w:val="22"/>
        </w:rPr>
        <w:t>CRA 8</w:t>
      </w:r>
      <w:r w:rsidR="007D1930">
        <w:rPr>
          <w:rFonts w:ascii="Arial Narrow" w:hAnsi="Arial Narrow"/>
          <w:b/>
          <w:sz w:val="22"/>
        </w:rPr>
        <w:t xml:space="preserve"> </w:t>
      </w:r>
      <w:r w:rsidRPr="00014185">
        <w:rPr>
          <w:rFonts w:ascii="Arial Narrow" w:hAnsi="Arial Narrow"/>
          <w:b/>
          <w:sz w:val="22"/>
        </w:rPr>
        <w:t>CPUE 1980</w:t>
      </w:r>
      <w:r w:rsidR="00CE3A4C" w:rsidRPr="00014185">
        <w:rPr>
          <w:rFonts w:ascii="Arial Narrow" w:hAnsi="Arial Narrow"/>
          <w:b/>
          <w:sz w:val="22"/>
        </w:rPr>
        <w:t xml:space="preserve"> to</w:t>
      </w:r>
      <w:r w:rsidRPr="00014185">
        <w:rPr>
          <w:rFonts w:ascii="Arial Narrow" w:hAnsi="Arial Narrow"/>
          <w:b/>
          <w:sz w:val="22"/>
        </w:rPr>
        <w:t xml:space="preserve"> 2018</w:t>
      </w:r>
      <w:r w:rsidR="00CE3A4C" w:rsidRPr="00014185">
        <w:rPr>
          <w:rFonts w:ascii="Arial Narrow" w:hAnsi="Arial Narrow"/>
          <w:b/>
          <w:sz w:val="22"/>
        </w:rPr>
        <w:t xml:space="preserve"> (kg/potlift)</w:t>
      </w:r>
      <w:r w:rsidR="0055420B">
        <w:rPr>
          <w:rFonts w:ascii="Arial Narrow" w:hAnsi="Arial Narrow"/>
          <w:b/>
          <w:sz w:val="22"/>
        </w:rPr>
        <w:t>.</w:t>
      </w:r>
    </w:p>
    <w:p w14:paraId="32782E66" w14:textId="77777777" w:rsidR="0080463D" w:rsidRPr="000C4B0D" w:rsidRDefault="0080463D" w:rsidP="002B7E06">
      <w:pPr>
        <w:rPr>
          <w:rFonts w:ascii="Arial" w:hAnsi="Arial" w:cs="Arial"/>
          <w:sz w:val="22"/>
          <w:szCs w:val="22"/>
        </w:rPr>
      </w:pPr>
    </w:p>
    <w:p w14:paraId="22FA6DE8" w14:textId="3E746F07" w:rsidR="00C1118A" w:rsidRDefault="00C1118A" w:rsidP="00C1118A">
      <w:pPr>
        <w:pStyle w:val="Heading2"/>
        <w:spacing w:after="60"/>
      </w:pPr>
      <w:bookmarkStart w:id="108" w:name="_Toc532471897"/>
      <w:r>
        <w:t>The Current CRA 8 management procedure</w:t>
      </w:r>
      <w:bookmarkEnd w:id="108"/>
    </w:p>
    <w:p w14:paraId="6AC52451" w14:textId="77777777" w:rsidR="00161ED0" w:rsidRDefault="00161ED0" w:rsidP="00C1118A">
      <w:pPr>
        <w:pStyle w:val="ListParagraph"/>
        <w:numPr>
          <w:ilvl w:val="0"/>
          <w:numId w:val="26"/>
        </w:numPr>
        <w:spacing w:after="0" w:line="240" w:lineRule="auto"/>
        <w:ind w:left="567" w:hanging="567"/>
        <w:jc w:val="left"/>
        <w:rPr>
          <w:rFonts w:ascii="Arial" w:hAnsi="Arial" w:cs="Arial"/>
          <w:szCs w:val="20"/>
        </w:rPr>
      </w:pPr>
      <w:r>
        <w:rPr>
          <w:rFonts w:ascii="Arial" w:hAnsi="Arial" w:cs="Arial"/>
          <w:szCs w:val="20"/>
        </w:rPr>
        <w:t xml:space="preserve">The </w:t>
      </w:r>
      <w:r w:rsidR="00C1118A">
        <w:rPr>
          <w:rFonts w:ascii="Arial" w:hAnsi="Arial" w:cs="Arial"/>
          <w:szCs w:val="20"/>
        </w:rPr>
        <w:t xml:space="preserve">Government agreed to use the current CRA 8 management procedure to the 2020/21 fishing year. </w:t>
      </w:r>
      <w:r w:rsidR="00C1118A" w:rsidRPr="00D57F9F">
        <w:rPr>
          <w:rFonts w:ascii="Arial" w:hAnsi="Arial" w:cs="Arial"/>
          <w:szCs w:val="20"/>
        </w:rPr>
        <w:t>A graphical representation of the CRA 8 management procedure is provided in Figure </w:t>
      </w:r>
      <w:r w:rsidR="00756AD5">
        <w:rPr>
          <w:rFonts w:ascii="Arial" w:hAnsi="Arial" w:cs="Arial"/>
          <w:szCs w:val="20"/>
        </w:rPr>
        <w:t>12</w:t>
      </w:r>
      <w:r w:rsidR="00C1118A" w:rsidRPr="00D57F9F">
        <w:rPr>
          <w:rFonts w:ascii="Arial" w:hAnsi="Arial" w:cs="Arial"/>
          <w:szCs w:val="20"/>
        </w:rPr>
        <w:t xml:space="preserve">. </w:t>
      </w:r>
      <w:r w:rsidR="00C1118A">
        <w:rPr>
          <w:rFonts w:ascii="Arial" w:hAnsi="Arial" w:cs="Arial"/>
          <w:szCs w:val="20"/>
        </w:rPr>
        <w:t xml:space="preserve">The CRA 8 management procedure is unique in that it uses information only from retained legal state catch. This reflects the focus to both manage at higher biomasses and maximise economic return. </w:t>
      </w:r>
      <w:r w:rsidR="00C1118A" w:rsidRPr="00D57F9F">
        <w:rPr>
          <w:rFonts w:ascii="Arial" w:hAnsi="Arial" w:cs="Arial"/>
          <w:szCs w:val="20"/>
        </w:rPr>
        <w:t xml:space="preserve">The graph shows the proposed TACC for the next year as a function of CPUE in the current year. </w:t>
      </w:r>
    </w:p>
    <w:p w14:paraId="69911BEC" w14:textId="77777777" w:rsidR="00161ED0" w:rsidRDefault="00161ED0" w:rsidP="00161ED0">
      <w:pPr>
        <w:pStyle w:val="ListParagraph"/>
        <w:spacing w:after="0" w:line="240" w:lineRule="auto"/>
        <w:ind w:left="567"/>
        <w:jc w:val="left"/>
        <w:rPr>
          <w:rFonts w:ascii="Arial" w:hAnsi="Arial" w:cs="Arial"/>
          <w:szCs w:val="20"/>
        </w:rPr>
      </w:pPr>
    </w:p>
    <w:p w14:paraId="58E86A83" w14:textId="280F2F2A" w:rsidR="00C1118A" w:rsidRPr="00D57F9F" w:rsidRDefault="00C1118A" w:rsidP="00C1118A">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When the rule was operated with the 2018 CPUE of 4.25 kg/potlift, it resulted in a TACC of 1,129.6 tonnes for the 2019/20 fishing year (shown by the pink symbol on the graph).</w:t>
      </w:r>
    </w:p>
    <w:p w14:paraId="431FD42D" w14:textId="77777777" w:rsidR="00C1118A" w:rsidRPr="00D07B28" w:rsidRDefault="00C1118A" w:rsidP="00C1118A">
      <w:pPr>
        <w:keepNext/>
        <w:spacing w:after="120"/>
        <w:rPr>
          <w:rFonts w:ascii="Times New Roman" w:hAnsi="Times New Roman"/>
        </w:rPr>
      </w:pPr>
      <w:r>
        <w:rPr>
          <w:noProof/>
          <w:lang w:eastAsia="en-NZ"/>
        </w:rPr>
        <w:lastRenderedPageBreak/>
        <w:drawing>
          <wp:inline distT="0" distB="0" distL="0" distR="0" wp14:anchorId="53347383" wp14:editId="1E405311">
            <wp:extent cx="5731510" cy="33426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342640"/>
                    </a:xfrm>
                    <a:prstGeom prst="rect">
                      <a:avLst/>
                    </a:prstGeom>
                  </pic:spPr>
                </pic:pic>
              </a:graphicData>
            </a:graphic>
          </wp:inline>
        </w:drawing>
      </w:r>
    </w:p>
    <w:p w14:paraId="371B9A2A" w14:textId="0DC2B996" w:rsidR="00C1118A" w:rsidRPr="000C4B0D" w:rsidRDefault="00C1118A" w:rsidP="000C4B0D">
      <w:pPr>
        <w:spacing w:before="240"/>
        <w:contextualSpacing w:val="0"/>
        <w:rPr>
          <w:rFonts w:ascii="Arial Narrow" w:hAnsi="Arial Narrow"/>
          <w:b/>
          <w:sz w:val="22"/>
          <w:szCs w:val="22"/>
        </w:rPr>
      </w:pPr>
      <w:r w:rsidRPr="000C4B0D">
        <w:rPr>
          <w:rFonts w:ascii="Arial Narrow" w:hAnsi="Arial Narrow"/>
          <w:b/>
          <w:sz w:val="22"/>
          <w:szCs w:val="22"/>
        </w:rPr>
        <w:t xml:space="preserve">Figure </w:t>
      </w:r>
      <w:r w:rsidR="00756AD5">
        <w:rPr>
          <w:rFonts w:ascii="Arial Narrow" w:hAnsi="Arial Narrow"/>
          <w:b/>
          <w:sz w:val="22"/>
          <w:szCs w:val="22"/>
        </w:rPr>
        <w:t>12</w:t>
      </w:r>
      <w:r w:rsidRPr="000C4B0D">
        <w:rPr>
          <w:rFonts w:ascii="Arial Narrow" w:hAnsi="Arial Narrow"/>
          <w:b/>
          <w:sz w:val="22"/>
          <w:szCs w:val="22"/>
        </w:rPr>
        <w:t>: The current CRA 8 management procedure, showing the TACCs resulting from evaluations performed from 2015 to 2018 (shown as coloured shapes) for the 2015/16 to 2019/20 fishing years.</w:t>
      </w:r>
    </w:p>
    <w:p w14:paraId="13D42800" w14:textId="77777777" w:rsidR="00C1118A" w:rsidRPr="00C1118A" w:rsidRDefault="00C1118A" w:rsidP="00C1118A"/>
    <w:p w14:paraId="36484C9F" w14:textId="77777777" w:rsidR="002B7E06" w:rsidRDefault="002B7E06" w:rsidP="00887A9E">
      <w:pPr>
        <w:pStyle w:val="Heading2"/>
        <w:spacing w:after="60"/>
      </w:pPr>
      <w:bookmarkStart w:id="109" w:name="_Toc500855039"/>
      <w:bookmarkStart w:id="110" w:name="_Toc501013891"/>
      <w:bookmarkStart w:id="111" w:name="_Toc501526390"/>
      <w:bookmarkStart w:id="112" w:name="_Toc501698638"/>
      <w:bookmarkStart w:id="113" w:name="_Toc503362785"/>
      <w:bookmarkStart w:id="114" w:name="_Toc531692799"/>
      <w:bookmarkStart w:id="115" w:name="_Toc532471898"/>
      <w:r>
        <w:t>Proposed CRA 8 Options</w:t>
      </w:r>
      <w:bookmarkEnd w:id="109"/>
      <w:bookmarkEnd w:id="110"/>
      <w:bookmarkEnd w:id="111"/>
      <w:bookmarkEnd w:id="112"/>
      <w:bookmarkEnd w:id="113"/>
      <w:bookmarkEnd w:id="114"/>
      <w:bookmarkEnd w:id="115"/>
    </w:p>
    <w:p w14:paraId="0EB02F87" w14:textId="5E241396" w:rsidR="002B7E06" w:rsidRPr="00D57F9F" w:rsidRDefault="00756AD5" w:rsidP="000E51AE">
      <w:pPr>
        <w:pStyle w:val="ListParagraph"/>
        <w:numPr>
          <w:ilvl w:val="0"/>
          <w:numId w:val="26"/>
        </w:numPr>
        <w:spacing w:after="0" w:line="240" w:lineRule="auto"/>
        <w:ind w:left="567" w:hanging="567"/>
        <w:jc w:val="left"/>
        <w:rPr>
          <w:rFonts w:ascii="Arial" w:hAnsi="Arial" w:cs="Arial"/>
          <w:szCs w:val="20"/>
        </w:rPr>
      </w:pPr>
      <w:r>
        <w:rPr>
          <w:rFonts w:ascii="Arial" w:hAnsi="Arial" w:cs="Arial"/>
          <w:szCs w:val="20"/>
        </w:rPr>
        <w:t>Table 7</w:t>
      </w:r>
      <w:r w:rsidR="002B7E06" w:rsidRPr="00D57F9F">
        <w:rPr>
          <w:rFonts w:ascii="Arial" w:hAnsi="Arial" w:cs="Arial"/>
          <w:szCs w:val="20"/>
        </w:rPr>
        <w:t xml:space="preserve"> provides a summary of the options proposed for CRA 8. The current CRA 8 management procedure</w:t>
      </w:r>
      <w:r w:rsidR="002B7E06" w:rsidRPr="00D57F9F" w:rsidDel="00C101E2">
        <w:rPr>
          <w:rFonts w:ascii="Arial" w:hAnsi="Arial" w:cs="Arial"/>
          <w:szCs w:val="20"/>
        </w:rPr>
        <w:t xml:space="preserve"> </w:t>
      </w:r>
      <w:r w:rsidR="002B7E06" w:rsidRPr="00D57F9F">
        <w:rPr>
          <w:rFonts w:ascii="Arial" w:hAnsi="Arial" w:cs="Arial"/>
          <w:szCs w:val="20"/>
        </w:rPr>
        <w:t>has been used to guide TAC setting options. The proposals to increase the TAC and TACC</w:t>
      </w:r>
      <w:r w:rsidR="002B7E06" w:rsidRPr="00D57F9F" w:rsidDel="00EF16C2">
        <w:rPr>
          <w:rFonts w:ascii="Arial" w:hAnsi="Arial" w:cs="Arial"/>
          <w:szCs w:val="20"/>
        </w:rPr>
        <w:t xml:space="preserve"> </w:t>
      </w:r>
      <w:r w:rsidR="002B7E06" w:rsidRPr="00D57F9F">
        <w:rPr>
          <w:rFonts w:ascii="Arial" w:hAnsi="Arial" w:cs="Arial"/>
          <w:szCs w:val="20"/>
        </w:rPr>
        <w:t>will provide for increased utilisation opportunities whilst ensuring sustainability.</w:t>
      </w:r>
    </w:p>
    <w:p w14:paraId="181C17A0" w14:textId="77777777" w:rsidR="002B7E06" w:rsidRDefault="002B7E06" w:rsidP="002B7E06">
      <w:pPr>
        <w:rPr>
          <w:rFonts w:ascii="Times New Roman" w:hAnsi="Times New Roman"/>
        </w:rPr>
      </w:pPr>
    </w:p>
    <w:p w14:paraId="08C316D7" w14:textId="2554919E" w:rsidR="002B7E06" w:rsidRPr="007D1930" w:rsidRDefault="00756AD5" w:rsidP="000C4B0D">
      <w:pPr>
        <w:keepNext/>
        <w:spacing w:after="120"/>
        <w:contextualSpacing w:val="0"/>
        <w:rPr>
          <w:rFonts w:ascii="Arial Narrow" w:hAnsi="Arial Narrow"/>
          <w:b/>
          <w:sz w:val="22"/>
        </w:rPr>
      </w:pPr>
      <w:r>
        <w:rPr>
          <w:rFonts w:ascii="Arial Narrow" w:hAnsi="Arial Narrow"/>
          <w:b/>
          <w:sz w:val="22"/>
        </w:rPr>
        <w:t>Table 7</w:t>
      </w:r>
      <w:r w:rsidR="002B7E06" w:rsidRPr="00135FB1">
        <w:rPr>
          <w:rFonts w:ascii="Arial Narrow" w:hAnsi="Arial Narrow"/>
          <w:b/>
          <w:sz w:val="22"/>
        </w:rPr>
        <w:t>: Proposed management options in to</w:t>
      </w:r>
      <w:r w:rsidR="0088737F" w:rsidRPr="00135FB1">
        <w:rPr>
          <w:rFonts w:ascii="Arial Narrow" w:hAnsi="Arial Narrow"/>
          <w:b/>
          <w:sz w:val="22"/>
        </w:rPr>
        <w:t>nnes for CRA 8 from 1 April 2019</w:t>
      </w:r>
      <w:r w:rsidR="002B7E06" w:rsidRPr="00135FB1">
        <w:rPr>
          <w:rFonts w:ascii="Arial Narrow" w:hAnsi="Arial Narrow"/>
          <w:b/>
          <w:sz w:val="22"/>
        </w:rPr>
        <w:t>.</w:t>
      </w:r>
    </w:p>
    <w:tbl>
      <w:tblPr>
        <w:tblpPr w:leftFromText="180" w:rightFromText="180" w:vertAnchor="text" w:horzAnchor="margin" w:tblpX="-142" w:tblpY="96"/>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558"/>
        <w:gridCol w:w="1560"/>
        <w:gridCol w:w="1136"/>
        <w:gridCol w:w="1275"/>
        <w:gridCol w:w="1274"/>
      </w:tblGrid>
      <w:tr w:rsidR="007D1930" w:rsidRPr="005A515B" w14:paraId="052F2874" w14:textId="77777777" w:rsidTr="007D1930">
        <w:trPr>
          <w:trHeight w:val="274"/>
        </w:trPr>
        <w:tc>
          <w:tcPr>
            <w:tcW w:w="1250" w:type="pct"/>
            <w:vMerge w:val="restart"/>
            <w:tcBorders>
              <w:left w:val="nil"/>
              <w:right w:val="nil"/>
            </w:tcBorders>
            <w:vAlign w:val="center"/>
          </w:tcPr>
          <w:p w14:paraId="5AB5BBD4" w14:textId="77777777" w:rsidR="007D1930" w:rsidRPr="005A515B" w:rsidRDefault="007D1930" w:rsidP="007D1930">
            <w:pPr>
              <w:keepNext/>
              <w:spacing w:before="40" w:after="40"/>
              <w:contextualSpacing w:val="0"/>
              <w:jc w:val="center"/>
              <w:rPr>
                <w:rFonts w:ascii="Arial Narrow" w:hAnsi="Arial Narrow"/>
                <w:b/>
                <w:sz w:val="20"/>
              </w:rPr>
            </w:pPr>
            <w:r w:rsidRPr="005A515B">
              <w:rPr>
                <w:rFonts w:ascii="Arial Narrow" w:hAnsi="Arial Narrow"/>
                <w:b/>
                <w:sz w:val="20"/>
              </w:rPr>
              <w:t>Option</w:t>
            </w:r>
          </w:p>
        </w:tc>
        <w:tc>
          <w:tcPr>
            <w:tcW w:w="1719" w:type="pct"/>
            <w:gridSpan w:val="2"/>
            <w:tcBorders>
              <w:left w:val="nil"/>
              <w:bottom w:val="nil"/>
              <w:right w:val="nil"/>
            </w:tcBorders>
            <w:vAlign w:val="center"/>
          </w:tcPr>
          <w:p w14:paraId="08F390DB" w14:textId="77777777" w:rsidR="007D1930" w:rsidRPr="005A515B" w:rsidRDefault="007D1930" w:rsidP="007D1930">
            <w:pPr>
              <w:keepNext/>
              <w:spacing w:before="40" w:after="40"/>
              <w:contextualSpacing w:val="0"/>
              <w:jc w:val="center"/>
              <w:rPr>
                <w:rFonts w:ascii="Arial Narrow" w:hAnsi="Arial Narrow"/>
                <w:b/>
                <w:sz w:val="20"/>
              </w:rPr>
            </w:pPr>
          </w:p>
        </w:tc>
        <w:tc>
          <w:tcPr>
            <w:tcW w:w="2031" w:type="pct"/>
            <w:gridSpan w:val="3"/>
            <w:tcBorders>
              <w:left w:val="nil"/>
              <w:bottom w:val="single" w:sz="4" w:space="0" w:color="auto"/>
              <w:right w:val="nil"/>
            </w:tcBorders>
            <w:vAlign w:val="center"/>
          </w:tcPr>
          <w:p w14:paraId="0308D710" w14:textId="77777777" w:rsidR="007D1930" w:rsidRPr="005A515B" w:rsidRDefault="007D1930" w:rsidP="007D1930">
            <w:pPr>
              <w:keepNext/>
              <w:spacing w:before="40" w:after="40"/>
              <w:contextualSpacing w:val="0"/>
              <w:jc w:val="center"/>
              <w:rPr>
                <w:rFonts w:ascii="Arial Narrow" w:hAnsi="Arial Narrow"/>
                <w:b/>
                <w:sz w:val="20"/>
              </w:rPr>
            </w:pPr>
            <w:r>
              <w:rPr>
                <w:rFonts w:ascii="Arial Narrow" w:hAnsi="Arial Narrow"/>
                <w:b/>
                <w:sz w:val="20"/>
              </w:rPr>
              <w:t>Allowances</w:t>
            </w:r>
          </w:p>
        </w:tc>
      </w:tr>
      <w:tr w:rsidR="007D1930" w:rsidRPr="005A515B" w14:paraId="17A06584" w14:textId="77777777" w:rsidTr="007D1930">
        <w:trPr>
          <w:trHeight w:val="20"/>
        </w:trPr>
        <w:tc>
          <w:tcPr>
            <w:tcW w:w="1250" w:type="pct"/>
            <w:vMerge/>
            <w:tcBorders>
              <w:left w:val="nil"/>
              <w:bottom w:val="single" w:sz="4" w:space="0" w:color="auto"/>
              <w:right w:val="nil"/>
            </w:tcBorders>
            <w:vAlign w:val="center"/>
          </w:tcPr>
          <w:p w14:paraId="7D2FA0FD" w14:textId="77777777" w:rsidR="007D1930" w:rsidRPr="005A515B" w:rsidRDefault="007D1930" w:rsidP="00CE4AE5">
            <w:pPr>
              <w:keepNext/>
              <w:spacing w:before="40" w:after="40"/>
              <w:contextualSpacing w:val="0"/>
              <w:jc w:val="center"/>
              <w:rPr>
                <w:rFonts w:ascii="Arial Narrow" w:hAnsi="Arial Narrow"/>
                <w:b/>
                <w:sz w:val="20"/>
              </w:rPr>
            </w:pPr>
          </w:p>
        </w:tc>
        <w:tc>
          <w:tcPr>
            <w:tcW w:w="859" w:type="pct"/>
            <w:tcBorders>
              <w:top w:val="nil"/>
              <w:left w:val="nil"/>
              <w:bottom w:val="single" w:sz="4" w:space="0" w:color="auto"/>
              <w:right w:val="nil"/>
            </w:tcBorders>
            <w:vAlign w:val="center"/>
          </w:tcPr>
          <w:p w14:paraId="273FF93F" w14:textId="77777777" w:rsidR="007D1930" w:rsidRPr="005A515B" w:rsidRDefault="007D1930" w:rsidP="00CE4AE5">
            <w:pPr>
              <w:keepNext/>
              <w:spacing w:before="40" w:after="40"/>
              <w:contextualSpacing w:val="0"/>
              <w:jc w:val="center"/>
              <w:rPr>
                <w:rFonts w:ascii="Arial Narrow" w:hAnsi="Arial Narrow"/>
                <w:b/>
                <w:sz w:val="20"/>
              </w:rPr>
            </w:pPr>
            <w:r w:rsidRPr="005A515B">
              <w:rPr>
                <w:rFonts w:ascii="Arial Narrow" w:hAnsi="Arial Narrow"/>
                <w:b/>
                <w:sz w:val="20"/>
              </w:rPr>
              <w:t>TAC</w:t>
            </w:r>
          </w:p>
        </w:tc>
        <w:tc>
          <w:tcPr>
            <w:tcW w:w="860" w:type="pct"/>
            <w:tcBorders>
              <w:top w:val="nil"/>
              <w:left w:val="nil"/>
              <w:bottom w:val="single" w:sz="4" w:space="0" w:color="auto"/>
              <w:right w:val="nil"/>
            </w:tcBorders>
            <w:vAlign w:val="center"/>
          </w:tcPr>
          <w:p w14:paraId="5C49AD71" w14:textId="77777777" w:rsidR="007D1930" w:rsidRPr="005A515B" w:rsidRDefault="007D1930" w:rsidP="00CE4AE5">
            <w:pPr>
              <w:keepNext/>
              <w:spacing w:before="40" w:after="40"/>
              <w:contextualSpacing w:val="0"/>
              <w:jc w:val="center"/>
              <w:rPr>
                <w:rFonts w:ascii="Arial Narrow" w:hAnsi="Arial Narrow"/>
                <w:b/>
                <w:sz w:val="20"/>
              </w:rPr>
            </w:pPr>
            <w:r w:rsidRPr="005A515B">
              <w:rPr>
                <w:rFonts w:ascii="Arial Narrow" w:hAnsi="Arial Narrow"/>
                <w:b/>
                <w:sz w:val="20"/>
              </w:rPr>
              <w:t>TACC</w:t>
            </w:r>
          </w:p>
        </w:tc>
        <w:tc>
          <w:tcPr>
            <w:tcW w:w="626" w:type="pct"/>
            <w:tcBorders>
              <w:top w:val="single" w:sz="4" w:space="0" w:color="auto"/>
              <w:left w:val="nil"/>
              <w:bottom w:val="single" w:sz="4" w:space="0" w:color="auto"/>
              <w:right w:val="nil"/>
            </w:tcBorders>
            <w:vAlign w:val="center"/>
          </w:tcPr>
          <w:p w14:paraId="118FB3CD" w14:textId="77777777" w:rsidR="007D1930" w:rsidRPr="005A515B" w:rsidRDefault="007D1930" w:rsidP="00CE4AE5">
            <w:pPr>
              <w:keepNext/>
              <w:spacing w:before="40" w:after="40"/>
              <w:contextualSpacing w:val="0"/>
              <w:jc w:val="center"/>
              <w:rPr>
                <w:rFonts w:ascii="Arial Narrow" w:hAnsi="Arial Narrow"/>
                <w:b/>
                <w:sz w:val="20"/>
              </w:rPr>
            </w:pPr>
            <w:r w:rsidRPr="005A515B">
              <w:rPr>
                <w:rFonts w:ascii="Arial Narrow" w:hAnsi="Arial Narrow"/>
                <w:b/>
                <w:sz w:val="20"/>
              </w:rPr>
              <w:t>Customary Māori</w:t>
            </w:r>
          </w:p>
        </w:tc>
        <w:tc>
          <w:tcPr>
            <w:tcW w:w="703" w:type="pct"/>
            <w:tcBorders>
              <w:top w:val="single" w:sz="4" w:space="0" w:color="auto"/>
              <w:left w:val="nil"/>
              <w:bottom w:val="single" w:sz="4" w:space="0" w:color="auto"/>
              <w:right w:val="nil"/>
            </w:tcBorders>
            <w:vAlign w:val="center"/>
          </w:tcPr>
          <w:p w14:paraId="50F17A97" w14:textId="77777777" w:rsidR="007D1930" w:rsidRPr="005A515B" w:rsidRDefault="007D1930" w:rsidP="00CE4AE5">
            <w:pPr>
              <w:keepNext/>
              <w:spacing w:before="40" w:after="40"/>
              <w:contextualSpacing w:val="0"/>
              <w:jc w:val="center"/>
              <w:rPr>
                <w:rFonts w:ascii="Arial Narrow" w:hAnsi="Arial Narrow"/>
                <w:b/>
                <w:sz w:val="20"/>
              </w:rPr>
            </w:pPr>
            <w:r w:rsidRPr="005A515B">
              <w:rPr>
                <w:rFonts w:ascii="Arial Narrow" w:hAnsi="Arial Narrow"/>
                <w:b/>
                <w:sz w:val="20"/>
              </w:rPr>
              <w:t>Recreational</w:t>
            </w:r>
          </w:p>
        </w:tc>
        <w:tc>
          <w:tcPr>
            <w:tcW w:w="703" w:type="pct"/>
            <w:tcBorders>
              <w:top w:val="single" w:sz="4" w:space="0" w:color="auto"/>
              <w:left w:val="nil"/>
              <w:bottom w:val="single" w:sz="4" w:space="0" w:color="auto"/>
              <w:right w:val="nil"/>
            </w:tcBorders>
            <w:vAlign w:val="center"/>
          </w:tcPr>
          <w:p w14:paraId="5AF8D8C2" w14:textId="77777777" w:rsidR="007D1930" w:rsidRPr="005A515B" w:rsidRDefault="007D1930" w:rsidP="00CE4AE5">
            <w:pPr>
              <w:keepNext/>
              <w:spacing w:before="40" w:after="40"/>
              <w:contextualSpacing w:val="0"/>
              <w:jc w:val="center"/>
              <w:rPr>
                <w:rFonts w:ascii="Arial Narrow" w:hAnsi="Arial Narrow"/>
                <w:b/>
                <w:sz w:val="20"/>
              </w:rPr>
            </w:pPr>
            <w:r w:rsidRPr="005A515B">
              <w:rPr>
                <w:rFonts w:ascii="Arial Narrow" w:hAnsi="Arial Narrow"/>
                <w:b/>
                <w:sz w:val="20"/>
              </w:rPr>
              <w:t>Other mortality</w:t>
            </w:r>
          </w:p>
        </w:tc>
      </w:tr>
      <w:tr w:rsidR="004474BD" w:rsidRPr="005A515B" w14:paraId="65A61393" w14:textId="77777777" w:rsidTr="004474BD">
        <w:trPr>
          <w:trHeight w:val="408"/>
        </w:trPr>
        <w:tc>
          <w:tcPr>
            <w:tcW w:w="1250" w:type="pct"/>
            <w:tcBorders>
              <w:top w:val="single" w:sz="4" w:space="0" w:color="auto"/>
              <w:left w:val="nil"/>
              <w:bottom w:val="nil"/>
              <w:right w:val="nil"/>
            </w:tcBorders>
            <w:vAlign w:val="center"/>
          </w:tcPr>
          <w:p w14:paraId="211FDE22" w14:textId="77777777" w:rsidR="004474BD" w:rsidRDefault="004474BD" w:rsidP="007D1930">
            <w:pPr>
              <w:spacing w:before="40" w:after="40"/>
              <w:contextualSpacing w:val="0"/>
              <w:rPr>
                <w:rFonts w:ascii="Arial Narrow" w:hAnsi="Arial Narrow"/>
                <w:b/>
                <w:sz w:val="20"/>
              </w:rPr>
            </w:pPr>
            <w:r>
              <w:rPr>
                <w:rFonts w:ascii="Arial Narrow" w:hAnsi="Arial Narrow"/>
                <w:b/>
                <w:sz w:val="20"/>
              </w:rPr>
              <w:t>CRA8_01:</w:t>
            </w:r>
            <w:r>
              <w:rPr>
                <w:rFonts w:ascii="Arial Narrow" w:hAnsi="Arial Narrow"/>
                <w:i/>
                <w:sz w:val="20"/>
              </w:rPr>
              <w:t xml:space="preserve"> S</w:t>
            </w:r>
            <w:r w:rsidRPr="007F35E0">
              <w:rPr>
                <w:rFonts w:ascii="Arial Narrow" w:hAnsi="Arial Narrow"/>
                <w:i/>
                <w:sz w:val="20"/>
              </w:rPr>
              <w:t>tatus quo</w:t>
            </w:r>
          </w:p>
        </w:tc>
        <w:tc>
          <w:tcPr>
            <w:tcW w:w="859" w:type="pct"/>
            <w:tcBorders>
              <w:top w:val="single" w:sz="4" w:space="0" w:color="auto"/>
              <w:left w:val="nil"/>
              <w:bottom w:val="nil"/>
              <w:right w:val="nil"/>
            </w:tcBorders>
            <w:vAlign w:val="center"/>
          </w:tcPr>
          <w:p w14:paraId="5E9994D1" w14:textId="77777777" w:rsidR="004474BD" w:rsidRDefault="004474BD" w:rsidP="007D1930">
            <w:pPr>
              <w:spacing w:before="40" w:after="40"/>
              <w:contextualSpacing w:val="0"/>
              <w:jc w:val="center"/>
              <w:rPr>
                <w:rFonts w:ascii="Arial Narrow" w:hAnsi="Arial Narrow"/>
                <w:sz w:val="20"/>
              </w:rPr>
            </w:pPr>
            <w:r>
              <w:rPr>
                <w:rFonts w:ascii="Arial Narrow" w:hAnsi="Arial Narrow"/>
                <w:sz w:val="20"/>
              </w:rPr>
              <w:t>1,161.7</w:t>
            </w:r>
          </w:p>
        </w:tc>
        <w:tc>
          <w:tcPr>
            <w:tcW w:w="860" w:type="pct"/>
            <w:tcBorders>
              <w:top w:val="single" w:sz="4" w:space="0" w:color="auto"/>
              <w:left w:val="nil"/>
              <w:bottom w:val="nil"/>
              <w:right w:val="nil"/>
            </w:tcBorders>
            <w:vAlign w:val="center"/>
          </w:tcPr>
          <w:p w14:paraId="44EF074B" w14:textId="77777777" w:rsidR="004474BD" w:rsidRDefault="004474BD" w:rsidP="007D1930">
            <w:pPr>
              <w:spacing w:before="40" w:after="40"/>
              <w:contextualSpacing w:val="0"/>
              <w:jc w:val="center"/>
              <w:rPr>
                <w:rFonts w:ascii="Arial Narrow" w:hAnsi="Arial Narrow"/>
                <w:sz w:val="20"/>
              </w:rPr>
            </w:pPr>
            <w:r>
              <w:rPr>
                <w:rFonts w:ascii="Arial Narrow" w:hAnsi="Arial Narrow"/>
                <w:sz w:val="20"/>
              </w:rPr>
              <w:t>1,070.7</w:t>
            </w:r>
          </w:p>
        </w:tc>
        <w:tc>
          <w:tcPr>
            <w:tcW w:w="626" w:type="pct"/>
            <w:vMerge w:val="restart"/>
            <w:tcBorders>
              <w:top w:val="single" w:sz="4" w:space="0" w:color="auto"/>
              <w:left w:val="nil"/>
              <w:right w:val="nil"/>
            </w:tcBorders>
            <w:vAlign w:val="center"/>
          </w:tcPr>
          <w:p w14:paraId="20F79B45" w14:textId="77777777" w:rsidR="004474BD" w:rsidRDefault="004474BD" w:rsidP="007D1930">
            <w:pPr>
              <w:spacing w:before="40" w:after="40"/>
              <w:contextualSpacing w:val="0"/>
              <w:jc w:val="center"/>
              <w:rPr>
                <w:rFonts w:ascii="Arial Narrow" w:hAnsi="Arial Narrow"/>
                <w:sz w:val="20"/>
              </w:rPr>
            </w:pPr>
            <w:r>
              <w:rPr>
                <w:rFonts w:ascii="Arial Narrow" w:hAnsi="Arial Narrow"/>
                <w:sz w:val="20"/>
              </w:rPr>
              <w:t>30</w:t>
            </w:r>
          </w:p>
        </w:tc>
        <w:tc>
          <w:tcPr>
            <w:tcW w:w="703" w:type="pct"/>
            <w:vMerge w:val="restart"/>
            <w:tcBorders>
              <w:top w:val="single" w:sz="4" w:space="0" w:color="auto"/>
              <w:left w:val="nil"/>
              <w:right w:val="nil"/>
            </w:tcBorders>
            <w:vAlign w:val="center"/>
          </w:tcPr>
          <w:p w14:paraId="560C636F" w14:textId="66AC07F4" w:rsidR="004474BD" w:rsidRDefault="004474BD" w:rsidP="007D1930">
            <w:pPr>
              <w:spacing w:before="40" w:after="40"/>
              <w:contextualSpacing w:val="0"/>
              <w:jc w:val="center"/>
              <w:rPr>
                <w:rFonts w:ascii="Arial Narrow" w:hAnsi="Arial Narrow"/>
                <w:sz w:val="20"/>
              </w:rPr>
            </w:pPr>
            <w:r>
              <w:rPr>
                <w:rFonts w:ascii="Arial Narrow" w:hAnsi="Arial Narrow"/>
                <w:sz w:val="20"/>
              </w:rPr>
              <w:t>33</w:t>
            </w:r>
          </w:p>
        </w:tc>
        <w:tc>
          <w:tcPr>
            <w:tcW w:w="702" w:type="pct"/>
            <w:vMerge w:val="restart"/>
            <w:tcBorders>
              <w:top w:val="single" w:sz="4" w:space="0" w:color="auto"/>
              <w:left w:val="nil"/>
              <w:right w:val="nil"/>
            </w:tcBorders>
            <w:vAlign w:val="center"/>
          </w:tcPr>
          <w:p w14:paraId="344F6A19" w14:textId="3391E8B9" w:rsidR="004474BD" w:rsidRDefault="004474BD" w:rsidP="004474BD">
            <w:pPr>
              <w:spacing w:before="40" w:after="40"/>
              <w:contextualSpacing w:val="0"/>
              <w:jc w:val="center"/>
              <w:rPr>
                <w:rFonts w:ascii="Arial Narrow" w:hAnsi="Arial Narrow"/>
                <w:sz w:val="20"/>
              </w:rPr>
            </w:pPr>
            <w:r>
              <w:rPr>
                <w:rFonts w:ascii="Arial Narrow" w:hAnsi="Arial Narrow"/>
                <w:sz w:val="20"/>
              </w:rPr>
              <w:t>28</w:t>
            </w:r>
          </w:p>
        </w:tc>
      </w:tr>
      <w:tr w:rsidR="004474BD" w:rsidRPr="005A515B" w14:paraId="1EB7BA9B" w14:textId="77777777" w:rsidTr="004474BD">
        <w:trPr>
          <w:trHeight w:val="408"/>
        </w:trPr>
        <w:tc>
          <w:tcPr>
            <w:tcW w:w="1250" w:type="pct"/>
            <w:tcBorders>
              <w:top w:val="nil"/>
              <w:left w:val="nil"/>
              <w:bottom w:val="single" w:sz="4" w:space="0" w:color="auto"/>
              <w:right w:val="nil"/>
            </w:tcBorders>
            <w:vAlign w:val="center"/>
          </w:tcPr>
          <w:p w14:paraId="423F62E3" w14:textId="77777777" w:rsidR="004474BD" w:rsidRPr="00EF4D57" w:rsidRDefault="004474BD" w:rsidP="007D1930">
            <w:pPr>
              <w:spacing w:before="40" w:after="40"/>
              <w:contextualSpacing w:val="0"/>
              <w:rPr>
                <w:rFonts w:ascii="Arial Narrow" w:hAnsi="Arial Narrow"/>
                <w:sz w:val="20"/>
              </w:rPr>
            </w:pPr>
            <w:r>
              <w:rPr>
                <w:rFonts w:ascii="Arial Narrow" w:hAnsi="Arial Narrow"/>
                <w:b/>
                <w:sz w:val="20"/>
              </w:rPr>
              <w:t>CRA8_02:</w:t>
            </w:r>
            <w:r w:rsidRPr="000945E5">
              <w:rPr>
                <w:rFonts w:ascii="Arial Narrow" w:hAnsi="Arial Narrow"/>
                <w:sz w:val="20"/>
              </w:rPr>
              <w:t xml:space="preserve"> </w:t>
            </w:r>
            <w:r>
              <w:rPr>
                <w:rFonts w:ascii="Arial Narrow" w:hAnsi="Arial Narrow"/>
                <w:sz w:val="20"/>
              </w:rPr>
              <w:t>Based on the operation</w:t>
            </w:r>
            <w:r w:rsidRPr="000945E5">
              <w:rPr>
                <w:rFonts w:ascii="Arial Narrow" w:hAnsi="Arial Narrow"/>
                <w:sz w:val="20"/>
              </w:rPr>
              <w:t xml:space="preserve"> </w:t>
            </w:r>
            <w:r>
              <w:rPr>
                <w:rFonts w:ascii="Arial Narrow" w:hAnsi="Arial Narrow"/>
                <w:sz w:val="20"/>
              </w:rPr>
              <w:t xml:space="preserve">of the </w:t>
            </w:r>
            <w:r w:rsidRPr="000945E5">
              <w:rPr>
                <w:rFonts w:ascii="Arial Narrow" w:hAnsi="Arial Narrow"/>
                <w:sz w:val="20"/>
              </w:rPr>
              <w:t xml:space="preserve">CRA </w:t>
            </w:r>
            <w:r>
              <w:rPr>
                <w:rFonts w:ascii="Arial Narrow" w:hAnsi="Arial Narrow"/>
                <w:sz w:val="20"/>
              </w:rPr>
              <w:t>8 management procedure</w:t>
            </w:r>
          </w:p>
        </w:tc>
        <w:tc>
          <w:tcPr>
            <w:tcW w:w="859" w:type="pct"/>
            <w:tcBorders>
              <w:top w:val="nil"/>
              <w:left w:val="nil"/>
              <w:bottom w:val="single" w:sz="4" w:space="0" w:color="auto"/>
              <w:right w:val="nil"/>
            </w:tcBorders>
            <w:vAlign w:val="center"/>
          </w:tcPr>
          <w:p w14:paraId="14C16E57" w14:textId="66352BB3" w:rsidR="004474BD" w:rsidRDefault="004474BD" w:rsidP="007D1930">
            <w:pPr>
              <w:spacing w:before="40" w:after="40"/>
              <w:contextualSpacing w:val="0"/>
              <w:jc w:val="center"/>
              <w:rPr>
                <w:rFonts w:ascii="Arial Narrow" w:hAnsi="Arial Narrow"/>
                <w:sz w:val="20"/>
              </w:rPr>
            </w:pPr>
            <w:r>
              <w:rPr>
                <w:rFonts w:ascii="Arial Narrow" w:hAnsi="Arial Narrow"/>
                <w:sz w:val="20"/>
              </w:rPr>
              <w:t>1220.6</w:t>
            </w:r>
            <w:r w:rsidRPr="00B05741">
              <w:rPr>
                <w:rFonts w:ascii="Arial Narrow" w:hAnsi="Arial Narrow"/>
                <w:sz w:val="20"/>
              </w:rPr>
              <w:t xml:space="preserve"> </w:t>
            </w:r>
            <w:r w:rsidRPr="00C72520">
              <w:rPr>
                <w:rFonts w:ascii="Arial Narrow" w:hAnsi="Arial Narrow"/>
                <w:b/>
                <w:color w:val="00B050"/>
                <w:sz w:val="20"/>
              </w:rPr>
              <w:sym w:font="Wingdings" w:char="F0E1"/>
            </w:r>
            <w:r>
              <w:rPr>
                <w:rFonts w:ascii="Arial Narrow" w:hAnsi="Arial Narrow"/>
                <w:sz w:val="20"/>
              </w:rPr>
              <w:t xml:space="preserve"> (5.1</w:t>
            </w:r>
            <w:r w:rsidRPr="00AB5AC9">
              <w:rPr>
                <w:rFonts w:ascii="Arial Narrow" w:hAnsi="Arial Narrow"/>
                <w:sz w:val="20"/>
              </w:rPr>
              <w:t>%)</w:t>
            </w:r>
          </w:p>
        </w:tc>
        <w:tc>
          <w:tcPr>
            <w:tcW w:w="860" w:type="pct"/>
            <w:tcBorders>
              <w:top w:val="nil"/>
              <w:left w:val="nil"/>
              <w:bottom w:val="single" w:sz="4" w:space="0" w:color="auto"/>
              <w:right w:val="nil"/>
            </w:tcBorders>
            <w:vAlign w:val="center"/>
          </w:tcPr>
          <w:p w14:paraId="5BB2CB35" w14:textId="77777777" w:rsidR="004474BD" w:rsidRDefault="004474BD" w:rsidP="007D1930">
            <w:pPr>
              <w:spacing w:before="40" w:after="40"/>
              <w:contextualSpacing w:val="0"/>
              <w:jc w:val="center"/>
              <w:rPr>
                <w:rFonts w:ascii="Arial Narrow" w:hAnsi="Arial Narrow"/>
                <w:sz w:val="20"/>
              </w:rPr>
            </w:pPr>
            <w:r>
              <w:rPr>
                <w:rFonts w:ascii="Arial Narrow" w:hAnsi="Arial Narrow"/>
                <w:sz w:val="20"/>
              </w:rPr>
              <w:t xml:space="preserve">1,129.6 </w:t>
            </w:r>
            <w:r w:rsidRPr="00C72520">
              <w:rPr>
                <w:rFonts w:ascii="Arial Narrow" w:hAnsi="Arial Narrow"/>
                <w:b/>
                <w:color w:val="00B050"/>
                <w:sz w:val="20"/>
              </w:rPr>
              <w:sym w:font="Wingdings" w:char="F0E1"/>
            </w:r>
            <w:r>
              <w:rPr>
                <w:rFonts w:ascii="Arial Narrow" w:hAnsi="Arial Narrow"/>
                <w:b/>
                <w:color w:val="00B050"/>
                <w:sz w:val="20"/>
              </w:rPr>
              <w:t xml:space="preserve"> </w:t>
            </w:r>
            <w:r w:rsidRPr="00AB5AC9">
              <w:rPr>
                <w:rFonts w:ascii="Arial Narrow" w:hAnsi="Arial Narrow"/>
                <w:sz w:val="20"/>
              </w:rPr>
              <w:t>(5.5</w:t>
            </w:r>
            <w:r>
              <w:rPr>
                <w:rFonts w:ascii="Arial Narrow" w:hAnsi="Arial Narrow"/>
                <w:sz w:val="20"/>
              </w:rPr>
              <w:t>%</w:t>
            </w:r>
            <w:r w:rsidRPr="00AB5AC9">
              <w:rPr>
                <w:rFonts w:ascii="Arial Narrow" w:hAnsi="Arial Narrow"/>
                <w:sz w:val="20"/>
              </w:rPr>
              <w:t>)</w:t>
            </w:r>
          </w:p>
        </w:tc>
        <w:tc>
          <w:tcPr>
            <w:tcW w:w="626" w:type="pct"/>
            <w:vMerge/>
            <w:tcBorders>
              <w:left w:val="nil"/>
              <w:bottom w:val="single" w:sz="4" w:space="0" w:color="auto"/>
              <w:right w:val="nil"/>
            </w:tcBorders>
            <w:vAlign w:val="center"/>
          </w:tcPr>
          <w:p w14:paraId="752A94A8" w14:textId="77777777" w:rsidR="004474BD" w:rsidRDefault="004474BD" w:rsidP="007D1930">
            <w:pPr>
              <w:spacing w:before="40" w:after="40"/>
              <w:contextualSpacing w:val="0"/>
              <w:jc w:val="center"/>
              <w:rPr>
                <w:rFonts w:ascii="Arial Narrow" w:hAnsi="Arial Narrow"/>
                <w:sz w:val="20"/>
              </w:rPr>
            </w:pPr>
          </w:p>
        </w:tc>
        <w:tc>
          <w:tcPr>
            <w:tcW w:w="703" w:type="pct"/>
            <w:vMerge/>
            <w:tcBorders>
              <w:left w:val="nil"/>
              <w:bottom w:val="single" w:sz="4" w:space="0" w:color="auto"/>
              <w:right w:val="nil"/>
            </w:tcBorders>
            <w:vAlign w:val="center"/>
          </w:tcPr>
          <w:p w14:paraId="7D95DA27" w14:textId="57207E74" w:rsidR="004474BD" w:rsidRDefault="004474BD" w:rsidP="007D1930">
            <w:pPr>
              <w:spacing w:before="40" w:after="40"/>
              <w:contextualSpacing w:val="0"/>
              <w:jc w:val="center"/>
              <w:rPr>
                <w:rFonts w:ascii="Arial Narrow" w:hAnsi="Arial Narrow"/>
                <w:sz w:val="20"/>
              </w:rPr>
            </w:pPr>
          </w:p>
        </w:tc>
        <w:tc>
          <w:tcPr>
            <w:tcW w:w="702" w:type="pct"/>
            <w:vMerge/>
            <w:tcBorders>
              <w:left w:val="nil"/>
              <w:bottom w:val="single" w:sz="4" w:space="0" w:color="auto"/>
              <w:right w:val="nil"/>
            </w:tcBorders>
            <w:vAlign w:val="center"/>
          </w:tcPr>
          <w:p w14:paraId="78DF045F" w14:textId="5D913F58" w:rsidR="004474BD" w:rsidRDefault="004474BD" w:rsidP="007D1930">
            <w:pPr>
              <w:spacing w:before="40" w:after="40"/>
              <w:contextualSpacing w:val="0"/>
              <w:jc w:val="center"/>
              <w:rPr>
                <w:rFonts w:ascii="Arial Narrow" w:hAnsi="Arial Narrow"/>
                <w:sz w:val="20"/>
              </w:rPr>
            </w:pPr>
          </w:p>
        </w:tc>
      </w:tr>
    </w:tbl>
    <w:p w14:paraId="397668A4" w14:textId="77777777" w:rsidR="002B7E06" w:rsidRPr="0095021F" w:rsidRDefault="002B7E06" w:rsidP="0095021F">
      <w:pPr>
        <w:rPr>
          <w:rFonts w:ascii="Arial" w:hAnsi="Arial" w:cs="Arial"/>
          <w:sz w:val="22"/>
          <w:szCs w:val="22"/>
        </w:rPr>
      </w:pPr>
    </w:p>
    <w:p w14:paraId="0E992A55" w14:textId="7FE94106" w:rsidR="002B7E06" w:rsidRDefault="00135FB1" w:rsidP="002B7E06">
      <w:pPr>
        <w:pStyle w:val="Heading3"/>
        <w:ind w:left="720" w:hanging="720"/>
      </w:pPr>
      <w:r>
        <w:t>T</w:t>
      </w:r>
      <w:r w:rsidR="000129AB">
        <w:t xml:space="preserve">otal </w:t>
      </w:r>
      <w:r>
        <w:t>A</w:t>
      </w:r>
      <w:r w:rsidR="000129AB">
        <w:t xml:space="preserve">llowable </w:t>
      </w:r>
      <w:r>
        <w:t>C</w:t>
      </w:r>
      <w:r w:rsidR="000129AB">
        <w:t>atch</w:t>
      </w:r>
    </w:p>
    <w:p w14:paraId="6EB28E8B" w14:textId="77777777" w:rsidR="007D1930" w:rsidRPr="007D1930" w:rsidRDefault="007D1930" w:rsidP="007D1930">
      <w:pPr>
        <w:pStyle w:val="ListParagraph"/>
        <w:spacing w:after="0" w:line="240" w:lineRule="auto"/>
        <w:ind w:left="567"/>
        <w:jc w:val="left"/>
        <w:rPr>
          <w:rFonts w:ascii="Arial" w:hAnsi="Arial" w:cs="Arial"/>
          <w:szCs w:val="20"/>
        </w:rPr>
      </w:pPr>
    </w:p>
    <w:p w14:paraId="24F9AEAF" w14:textId="27DAF86C" w:rsidR="002B7E06" w:rsidRPr="00D57F9F" w:rsidRDefault="002B7E06" w:rsidP="000E51AE">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4"/>
        </w:rPr>
        <w:t xml:space="preserve">For CRA 8, the </w:t>
      </w:r>
      <w:r w:rsidRPr="00D57F9F">
        <w:rPr>
          <w:rFonts w:ascii="Arial" w:hAnsi="Arial" w:cs="Arial"/>
          <w:szCs w:val="20"/>
        </w:rPr>
        <w:t xml:space="preserve">biomass </w:t>
      </w:r>
      <w:r w:rsidRPr="00D57F9F">
        <w:rPr>
          <w:rFonts w:ascii="Arial" w:hAnsi="Arial" w:cs="Arial"/>
          <w:szCs w:val="24"/>
        </w:rPr>
        <w:t>level that can produce the maximum sustainable yield (</w:t>
      </w:r>
      <w:r w:rsidRPr="00D57F9F">
        <w:rPr>
          <w:rFonts w:ascii="Arial" w:hAnsi="Arial" w:cs="Arial"/>
          <w:i/>
          <w:szCs w:val="20"/>
        </w:rPr>
        <w:t>B</w:t>
      </w:r>
      <w:r w:rsidRPr="00D57F9F">
        <w:rPr>
          <w:rFonts w:ascii="Arial" w:hAnsi="Arial" w:cs="Arial"/>
          <w:i/>
          <w:szCs w:val="20"/>
          <w:vertAlign w:val="subscript"/>
        </w:rPr>
        <w:t>MSY</w:t>
      </w:r>
      <w:r w:rsidRPr="00D57F9F">
        <w:rPr>
          <w:rFonts w:ascii="Arial" w:hAnsi="Arial" w:cs="Arial"/>
          <w:szCs w:val="24"/>
        </w:rPr>
        <w:t>) is not known</w:t>
      </w:r>
      <w:r w:rsidRPr="00D57F9F">
        <w:rPr>
          <w:rFonts w:ascii="Arial" w:hAnsi="Arial" w:cs="Arial"/>
          <w:szCs w:val="20"/>
        </w:rPr>
        <w:t xml:space="preserve">. </w:t>
      </w:r>
      <w:r w:rsidR="00C1118A">
        <w:rPr>
          <w:rFonts w:ascii="Arial" w:hAnsi="Arial" w:cs="Arial"/>
          <w:szCs w:val="20"/>
        </w:rPr>
        <w:t>An MSY-compatible reference level,</w:t>
      </w:r>
      <w:r w:rsidR="00C1118A" w:rsidRPr="00982C6D">
        <w:rPr>
          <w:rFonts w:ascii="Arial" w:hAnsi="Arial" w:cs="Arial"/>
          <w:szCs w:val="20"/>
        </w:rPr>
        <w:t xml:space="preserve"> </w:t>
      </w:r>
      <w:r w:rsidR="00C1118A" w:rsidRPr="00982C6D">
        <w:rPr>
          <w:rFonts w:ascii="Arial" w:hAnsi="Arial" w:cs="Arial"/>
          <w:i/>
          <w:szCs w:val="20"/>
        </w:rPr>
        <w:t>B</w:t>
      </w:r>
      <w:r w:rsidR="00C1118A">
        <w:rPr>
          <w:rFonts w:ascii="Arial" w:hAnsi="Arial" w:cs="Arial"/>
          <w:i/>
          <w:szCs w:val="20"/>
          <w:vertAlign w:val="subscript"/>
        </w:rPr>
        <w:t>REF</w:t>
      </w:r>
      <w:r w:rsidR="00C1118A">
        <w:rPr>
          <w:rFonts w:ascii="Arial" w:hAnsi="Arial" w:cs="Arial"/>
          <w:szCs w:val="20"/>
        </w:rPr>
        <w:t xml:space="preserve">, is instead used for CRA 8. </w:t>
      </w:r>
      <w:r w:rsidRPr="00D57F9F">
        <w:rPr>
          <w:rFonts w:ascii="Arial" w:hAnsi="Arial" w:cs="Arial"/>
          <w:szCs w:val="20"/>
        </w:rPr>
        <w:t xml:space="preserve">Because of this, any variation of the CRA 8 TAC must be done </w:t>
      </w:r>
      <w:r w:rsidR="00B4198E">
        <w:rPr>
          <w:rFonts w:ascii="Arial" w:hAnsi="Arial" w:cs="Arial"/>
          <w:szCs w:val="20"/>
        </w:rPr>
        <w:t>having regard to</w:t>
      </w:r>
      <w:r w:rsidR="00C1118A">
        <w:rPr>
          <w:rFonts w:ascii="Arial" w:hAnsi="Arial" w:cs="Arial"/>
          <w:szCs w:val="20"/>
        </w:rPr>
        <w:t xml:space="preserve"> </w:t>
      </w:r>
      <w:r w:rsidRPr="00D57F9F">
        <w:rPr>
          <w:rFonts w:ascii="Arial" w:hAnsi="Arial" w:cs="Arial"/>
          <w:szCs w:val="20"/>
        </w:rPr>
        <w:t>section 13(2A).</w:t>
      </w:r>
      <w:r w:rsidR="00AE2F0E">
        <w:rPr>
          <w:rFonts w:ascii="Arial" w:hAnsi="Arial" w:cs="Arial"/>
          <w:szCs w:val="20"/>
        </w:rPr>
        <w:t xml:space="preserve"> </w:t>
      </w:r>
      <w:r w:rsidR="00AE2F0E">
        <w:rPr>
          <w:rFonts w:ascii="Arial" w:hAnsi="Arial" w:cs="Arial"/>
          <w:szCs w:val="24"/>
        </w:rPr>
        <w:t>For further information on the Minister’s statutory considerations refer to Appendix 1.</w:t>
      </w:r>
    </w:p>
    <w:p w14:paraId="73F980AD" w14:textId="156CBB76" w:rsidR="002B7E06" w:rsidRPr="00C1118A" w:rsidRDefault="002B7E06" w:rsidP="002B7E06">
      <w:pPr>
        <w:rPr>
          <w:rFonts w:ascii="Arial" w:hAnsi="Arial" w:cs="Arial"/>
          <w:sz w:val="22"/>
          <w:szCs w:val="22"/>
        </w:rPr>
      </w:pPr>
    </w:p>
    <w:p w14:paraId="75916EA1" w14:textId="77777777" w:rsidR="002C54A7" w:rsidRDefault="002C54A7">
      <w:pPr>
        <w:spacing w:after="160" w:line="259" w:lineRule="auto"/>
        <w:contextualSpacing w:val="0"/>
        <w:rPr>
          <w:rFonts w:ascii="Arial" w:hAnsi="Arial" w:cs="Arial"/>
          <w:sz w:val="22"/>
        </w:rPr>
      </w:pPr>
      <w:r>
        <w:rPr>
          <w:rFonts w:ascii="Arial" w:hAnsi="Arial" w:cs="Arial"/>
        </w:rPr>
        <w:br w:type="page"/>
      </w:r>
    </w:p>
    <w:p w14:paraId="35B40575" w14:textId="6A951D49" w:rsidR="002B7E06" w:rsidRPr="00C1118A" w:rsidRDefault="002B7E06" w:rsidP="00C1118A">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lastRenderedPageBreak/>
        <w:t>Under Option CRA8_01, the CRA 8 TAC would st</w:t>
      </w:r>
      <w:r w:rsidR="00E1331C" w:rsidRPr="00D57F9F">
        <w:rPr>
          <w:rFonts w:ascii="Arial" w:hAnsi="Arial" w:cs="Arial"/>
          <w:szCs w:val="20"/>
        </w:rPr>
        <w:t>ay at its current level of 1,161.7</w:t>
      </w:r>
      <w:r w:rsidRPr="00D57F9F">
        <w:rPr>
          <w:rFonts w:ascii="Arial" w:hAnsi="Arial" w:cs="Arial"/>
          <w:szCs w:val="20"/>
        </w:rPr>
        <w:t xml:space="preserve"> tonnes</w:t>
      </w:r>
      <w:r w:rsidR="00CE3A4C">
        <w:rPr>
          <w:rFonts w:ascii="Arial" w:hAnsi="Arial" w:cs="Arial"/>
          <w:szCs w:val="20"/>
        </w:rPr>
        <w:t xml:space="preserve"> from 1 April 2019</w:t>
      </w:r>
      <w:r w:rsidRPr="00D57F9F">
        <w:rPr>
          <w:rFonts w:ascii="Arial" w:hAnsi="Arial" w:cs="Arial"/>
          <w:szCs w:val="20"/>
        </w:rPr>
        <w:t>.</w:t>
      </w:r>
      <w:r w:rsidR="00C1118A">
        <w:rPr>
          <w:rFonts w:ascii="Arial" w:hAnsi="Arial" w:cs="Arial"/>
          <w:szCs w:val="20"/>
        </w:rPr>
        <w:t xml:space="preserve"> </w:t>
      </w:r>
      <w:r w:rsidRPr="00C1118A">
        <w:rPr>
          <w:rFonts w:ascii="Arial" w:hAnsi="Arial" w:cs="Arial"/>
          <w:szCs w:val="20"/>
        </w:rPr>
        <w:t>This option could result in</w:t>
      </w:r>
      <w:r w:rsidR="00855B97">
        <w:rPr>
          <w:rFonts w:ascii="Arial" w:hAnsi="Arial" w:cs="Arial"/>
          <w:szCs w:val="20"/>
        </w:rPr>
        <w:t xml:space="preserve"> increased abundance in the CRA </w:t>
      </w:r>
      <w:r w:rsidRPr="00C1118A">
        <w:rPr>
          <w:rFonts w:ascii="Arial" w:hAnsi="Arial" w:cs="Arial"/>
          <w:szCs w:val="20"/>
        </w:rPr>
        <w:t>8 fishery in the short-term, increased non-commercial catche</w:t>
      </w:r>
      <w:r w:rsidR="000C4B0D">
        <w:rPr>
          <w:rFonts w:ascii="Arial" w:hAnsi="Arial" w:cs="Arial"/>
          <w:szCs w:val="20"/>
        </w:rPr>
        <w:t>s and catch rates compared with</w:t>
      </w:r>
      <w:r w:rsidRPr="00C1118A">
        <w:rPr>
          <w:rFonts w:ascii="Arial" w:hAnsi="Arial" w:cs="Arial"/>
          <w:szCs w:val="20"/>
        </w:rPr>
        <w:t xml:space="preserve"> Option CRA8_02, and higher CPUE for commercial fishers, which may result in reduced harvesting costs. But, at the cost of not being able to take advantage of the proposed TACC increase under Option CRA8_02.</w:t>
      </w:r>
    </w:p>
    <w:p w14:paraId="564231D8" w14:textId="77777777" w:rsidR="002B7E06" w:rsidRPr="00855B97" w:rsidRDefault="002B7E06" w:rsidP="002B7E06">
      <w:pPr>
        <w:rPr>
          <w:rFonts w:ascii="Arial" w:hAnsi="Arial" w:cs="Arial"/>
          <w:sz w:val="22"/>
          <w:szCs w:val="22"/>
        </w:rPr>
      </w:pPr>
    </w:p>
    <w:p w14:paraId="58DE8F27" w14:textId="60BCD8A2" w:rsidR="002B7E06" w:rsidRPr="00D57F9F" w:rsidRDefault="002B7E06" w:rsidP="000E51AE">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Under Option CRA8_02, the CRA 8 TAC would be increased to 1,</w:t>
      </w:r>
      <w:r w:rsidR="004474BD">
        <w:rPr>
          <w:rFonts w:ascii="Arial" w:hAnsi="Arial" w:cs="Arial"/>
          <w:szCs w:val="20"/>
        </w:rPr>
        <w:t>220</w:t>
      </w:r>
      <w:r w:rsidR="00E1331C" w:rsidRPr="00D57F9F">
        <w:rPr>
          <w:rFonts w:ascii="Arial" w:hAnsi="Arial" w:cs="Arial"/>
          <w:szCs w:val="20"/>
        </w:rPr>
        <w:t>.6</w:t>
      </w:r>
      <w:r w:rsidRPr="00D57F9F">
        <w:rPr>
          <w:rFonts w:ascii="Arial" w:hAnsi="Arial" w:cs="Arial"/>
          <w:szCs w:val="20"/>
        </w:rPr>
        <w:t xml:space="preserve"> tonnes. The proposed TAC increase is guided by the use of the CRA 8 management procedure that was agreed to i</w:t>
      </w:r>
      <w:r w:rsidR="00E1331C" w:rsidRPr="00D57F9F">
        <w:rPr>
          <w:rFonts w:ascii="Arial" w:hAnsi="Arial" w:cs="Arial"/>
          <w:szCs w:val="20"/>
        </w:rPr>
        <w:t>n 2016 from the 2016/17 to 2020/</w:t>
      </w:r>
      <w:r w:rsidR="00E22B6D">
        <w:rPr>
          <w:rFonts w:ascii="Arial" w:hAnsi="Arial" w:cs="Arial"/>
          <w:szCs w:val="20"/>
        </w:rPr>
        <w:t xml:space="preserve">21 fishing years. The </w:t>
      </w:r>
      <w:r w:rsidR="00E22B6D" w:rsidRPr="00CE29B5">
        <w:rPr>
          <w:rFonts w:ascii="Arial" w:hAnsi="Arial" w:cs="Arial"/>
        </w:rPr>
        <w:t>N</w:t>
      </w:r>
      <w:r w:rsidR="00E22B6D">
        <w:rPr>
          <w:rFonts w:ascii="Arial" w:hAnsi="Arial" w:cs="Arial"/>
        </w:rPr>
        <w:t xml:space="preserve">ational </w:t>
      </w:r>
      <w:r w:rsidR="00E22B6D" w:rsidRPr="00CE29B5">
        <w:rPr>
          <w:rFonts w:ascii="Arial" w:hAnsi="Arial" w:cs="Arial"/>
        </w:rPr>
        <w:t>R</w:t>
      </w:r>
      <w:r w:rsidR="00E22B6D">
        <w:rPr>
          <w:rFonts w:ascii="Arial" w:hAnsi="Arial" w:cs="Arial"/>
        </w:rPr>
        <w:t xml:space="preserve">ock </w:t>
      </w:r>
      <w:r w:rsidR="00E22B6D" w:rsidRPr="00CE29B5">
        <w:rPr>
          <w:rFonts w:ascii="Arial" w:hAnsi="Arial" w:cs="Arial"/>
        </w:rPr>
        <w:t>L</w:t>
      </w:r>
      <w:r w:rsidR="00E22B6D">
        <w:rPr>
          <w:rFonts w:ascii="Arial" w:hAnsi="Arial" w:cs="Arial"/>
        </w:rPr>
        <w:t xml:space="preserve">obster </w:t>
      </w:r>
      <w:r w:rsidR="00E22B6D" w:rsidRPr="00CE29B5">
        <w:rPr>
          <w:rFonts w:ascii="Arial" w:hAnsi="Arial" w:cs="Arial"/>
        </w:rPr>
        <w:t>M</w:t>
      </w:r>
      <w:r w:rsidR="00E22B6D">
        <w:rPr>
          <w:rFonts w:ascii="Arial" w:hAnsi="Arial" w:cs="Arial"/>
        </w:rPr>
        <w:t xml:space="preserve">anagement </w:t>
      </w:r>
      <w:r w:rsidR="00E22B6D" w:rsidRPr="00CE29B5">
        <w:rPr>
          <w:rFonts w:ascii="Arial" w:hAnsi="Arial" w:cs="Arial"/>
        </w:rPr>
        <w:t>G</w:t>
      </w:r>
      <w:r w:rsidR="00E22B6D">
        <w:rPr>
          <w:rFonts w:ascii="Arial" w:hAnsi="Arial" w:cs="Arial"/>
        </w:rPr>
        <w:t>roup</w:t>
      </w:r>
      <w:r w:rsidRPr="00D57F9F">
        <w:rPr>
          <w:rFonts w:ascii="Arial" w:hAnsi="Arial" w:cs="Arial"/>
          <w:szCs w:val="20"/>
        </w:rPr>
        <w:t xml:space="preserve"> supports the use of management procedures unless there are compelling reasons in a particular case not to follow the procedure.</w:t>
      </w:r>
    </w:p>
    <w:p w14:paraId="6D26B843" w14:textId="77777777" w:rsidR="002B7E06" w:rsidRPr="00D57F9F" w:rsidRDefault="002B7E06" w:rsidP="002B7E06">
      <w:pPr>
        <w:ind w:left="567" w:hanging="567"/>
        <w:rPr>
          <w:rFonts w:ascii="Arial" w:hAnsi="Arial" w:cs="Arial"/>
          <w:sz w:val="22"/>
        </w:rPr>
      </w:pPr>
    </w:p>
    <w:p w14:paraId="0177CE2A" w14:textId="3203F904" w:rsidR="002B7E06" w:rsidRPr="00D57F9F" w:rsidRDefault="00855B97" w:rsidP="000E51AE">
      <w:pPr>
        <w:pStyle w:val="ListParagraph"/>
        <w:numPr>
          <w:ilvl w:val="0"/>
          <w:numId w:val="26"/>
        </w:numPr>
        <w:spacing w:after="0" w:line="240" w:lineRule="auto"/>
        <w:ind w:left="567" w:hanging="567"/>
        <w:jc w:val="left"/>
        <w:rPr>
          <w:rFonts w:ascii="Arial" w:hAnsi="Arial" w:cs="Arial"/>
          <w:szCs w:val="20"/>
        </w:rPr>
      </w:pPr>
      <w:r>
        <w:rPr>
          <w:rFonts w:ascii="Arial" w:hAnsi="Arial" w:cs="Arial"/>
          <w:szCs w:val="20"/>
        </w:rPr>
        <w:t xml:space="preserve">The 2015 </w:t>
      </w:r>
      <w:r w:rsidR="002B7E06" w:rsidRPr="00D57F9F">
        <w:rPr>
          <w:rFonts w:ascii="Arial" w:hAnsi="Arial" w:cs="Arial"/>
          <w:szCs w:val="20"/>
        </w:rPr>
        <w:t xml:space="preserve">Ongoing application of the CRA 8 management procedure is expected to maintain the stock above </w:t>
      </w:r>
      <w:r w:rsidR="002B7E06" w:rsidRPr="00D57F9F">
        <w:rPr>
          <w:rFonts w:ascii="Arial" w:hAnsi="Arial" w:cs="Arial"/>
          <w:i/>
          <w:szCs w:val="20"/>
        </w:rPr>
        <w:t>B</w:t>
      </w:r>
      <w:r w:rsidR="002B7E06" w:rsidRPr="00D57F9F">
        <w:rPr>
          <w:rFonts w:ascii="Arial" w:hAnsi="Arial" w:cs="Arial"/>
          <w:i/>
          <w:szCs w:val="20"/>
          <w:vertAlign w:val="subscript"/>
        </w:rPr>
        <w:t>REF</w:t>
      </w:r>
      <w:r w:rsidR="002B7E06" w:rsidRPr="00D57F9F">
        <w:rPr>
          <w:rFonts w:ascii="Arial" w:hAnsi="Arial" w:cs="Arial"/>
          <w:szCs w:val="20"/>
        </w:rPr>
        <w:t xml:space="preserve"> with greater than 50% probability. Simulation testing indicates it would maintain the stock above </w:t>
      </w:r>
      <w:r w:rsidR="002B7E06" w:rsidRPr="00D57F9F">
        <w:rPr>
          <w:rFonts w:ascii="Arial" w:hAnsi="Arial" w:cs="Arial"/>
          <w:i/>
          <w:szCs w:val="20"/>
        </w:rPr>
        <w:t>B</w:t>
      </w:r>
      <w:r w:rsidR="002B7E06" w:rsidRPr="00D57F9F">
        <w:rPr>
          <w:rFonts w:ascii="Arial" w:hAnsi="Arial" w:cs="Arial"/>
          <w:i/>
          <w:szCs w:val="20"/>
          <w:vertAlign w:val="subscript"/>
        </w:rPr>
        <w:t>REF</w:t>
      </w:r>
      <w:r w:rsidR="002B7E06" w:rsidRPr="00D57F9F">
        <w:rPr>
          <w:rFonts w:ascii="Arial" w:hAnsi="Arial" w:cs="Arial"/>
          <w:szCs w:val="20"/>
        </w:rPr>
        <w:t xml:space="preserve"> with 99% probability. This is likely to provide increased utilisation benefits for all sectors.</w:t>
      </w:r>
    </w:p>
    <w:p w14:paraId="7C9B9228" w14:textId="1B798E6F" w:rsidR="007D1930" w:rsidRPr="007D1930" w:rsidRDefault="007D1930" w:rsidP="007D1930">
      <w:pPr>
        <w:pStyle w:val="ListParagraph"/>
        <w:rPr>
          <w:rFonts w:ascii="Arial" w:hAnsi="Arial" w:cs="Arial"/>
          <w:szCs w:val="20"/>
        </w:rPr>
      </w:pPr>
    </w:p>
    <w:p w14:paraId="30437E98" w14:textId="6DF38EFC" w:rsidR="002B7E06" w:rsidRDefault="0039201D" w:rsidP="002B7E06">
      <w:pPr>
        <w:pStyle w:val="Heading3"/>
        <w:ind w:left="720" w:hanging="720"/>
      </w:pPr>
      <w:r>
        <w:t>A</w:t>
      </w:r>
      <w:r w:rsidR="002B7E06">
        <w:t>llowances</w:t>
      </w:r>
    </w:p>
    <w:p w14:paraId="3FD6C6E0" w14:textId="5BB9F26E" w:rsidR="007879A2" w:rsidRPr="007879A2" w:rsidRDefault="007879A2" w:rsidP="007879A2">
      <w:pPr>
        <w:rPr>
          <w:rFonts w:ascii="Arial" w:hAnsi="Arial" w:cs="Arial"/>
          <w:sz w:val="22"/>
          <w:szCs w:val="22"/>
        </w:rPr>
      </w:pPr>
    </w:p>
    <w:p w14:paraId="343314D6" w14:textId="574EE0AD" w:rsidR="007879A2" w:rsidRPr="0057475E" w:rsidRDefault="007879A2" w:rsidP="007879A2">
      <w:pPr>
        <w:pStyle w:val="ListParagraph"/>
        <w:numPr>
          <w:ilvl w:val="0"/>
          <w:numId w:val="26"/>
        </w:numPr>
        <w:spacing w:after="0" w:line="240" w:lineRule="auto"/>
        <w:ind w:left="567" w:hanging="567"/>
        <w:jc w:val="left"/>
        <w:rPr>
          <w:rFonts w:ascii="Arial" w:hAnsi="Arial" w:cs="Arial"/>
          <w:szCs w:val="20"/>
        </w:rPr>
      </w:pPr>
      <w:r>
        <w:rPr>
          <w:rFonts w:ascii="Arial" w:hAnsi="Arial" w:cs="Arial"/>
          <w:szCs w:val="20"/>
        </w:rPr>
        <w:t>Table 8 provides a summary of</w:t>
      </w:r>
      <w:r w:rsidRPr="0057475E">
        <w:rPr>
          <w:rFonts w:ascii="Arial" w:hAnsi="Arial" w:cs="Arial"/>
          <w:szCs w:val="20"/>
        </w:rPr>
        <w:t xml:space="preserve"> information on current non-commercial </w:t>
      </w:r>
      <w:r>
        <w:rPr>
          <w:rFonts w:ascii="Arial" w:hAnsi="Arial" w:cs="Arial"/>
          <w:szCs w:val="20"/>
        </w:rPr>
        <w:t>allowances for CRA 8</w:t>
      </w:r>
      <w:r w:rsidRPr="0057475E">
        <w:rPr>
          <w:rFonts w:ascii="Arial" w:hAnsi="Arial" w:cs="Arial"/>
          <w:szCs w:val="20"/>
        </w:rPr>
        <w:t xml:space="preserve"> and stock assessment assumptions of non-commercial catch.</w:t>
      </w:r>
    </w:p>
    <w:p w14:paraId="6142D388" w14:textId="77777777" w:rsidR="007879A2" w:rsidRPr="007879A2" w:rsidRDefault="007879A2" w:rsidP="007879A2"/>
    <w:p w14:paraId="21EDEDEF" w14:textId="14EDA6B8" w:rsidR="007879A2" w:rsidRPr="007879A2" w:rsidRDefault="007879A2" w:rsidP="007879A2">
      <w:pPr>
        <w:keepNext/>
        <w:spacing w:after="120"/>
        <w:contextualSpacing w:val="0"/>
        <w:rPr>
          <w:rFonts w:ascii="Arial Narrow" w:hAnsi="Arial Narrow"/>
          <w:b/>
          <w:sz w:val="22"/>
          <w:szCs w:val="22"/>
        </w:rPr>
      </w:pPr>
      <w:r w:rsidRPr="007879A2">
        <w:rPr>
          <w:rFonts w:ascii="Arial Narrow" w:hAnsi="Arial Narrow"/>
          <w:b/>
          <w:sz w:val="22"/>
          <w:szCs w:val="22"/>
        </w:rPr>
        <w:t>Table 8: Current CRA 8 allowances and model assumptions of non-commercial catches (in tonnes).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54"/>
        <w:gridCol w:w="1468"/>
        <w:gridCol w:w="1468"/>
        <w:gridCol w:w="1468"/>
        <w:gridCol w:w="1468"/>
      </w:tblGrid>
      <w:tr w:rsidR="007879A2" w:rsidRPr="005A515B" w14:paraId="78CA917E" w14:textId="77777777" w:rsidTr="004474BD">
        <w:trPr>
          <w:trHeight w:val="20"/>
        </w:trPr>
        <w:tc>
          <w:tcPr>
            <w:tcW w:w="1747" w:type="pct"/>
            <w:tcBorders>
              <w:top w:val="single" w:sz="4" w:space="0" w:color="auto"/>
              <w:left w:val="nil"/>
              <w:bottom w:val="single" w:sz="4" w:space="0" w:color="auto"/>
              <w:right w:val="nil"/>
            </w:tcBorders>
            <w:vAlign w:val="center"/>
          </w:tcPr>
          <w:p w14:paraId="3FCDAB3D" w14:textId="77777777" w:rsidR="007879A2" w:rsidRPr="00E22A43" w:rsidRDefault="007879A2" w:rsidP="004474BD">
            <w:pPr>
              <w:spacing w:before="40" w:after="40"/>
              <w:rPr>
                <w:rFonts w:ascii="Arial Narrow" w:hAnsi="Arial Narrow"/>
                <w:b/>
                <w:sz w:val="20"/>
              </w:rPr>
            </w:pPr>
            <w:r w:rsidRPr="00E22A43">
              <w:rPr>
                <w:rFonts w:ascii="Arial Narrow" w:hAnsi="Arial Narrow"/>
                <w:b/>
                <w:sz w:val="20"/>
              </w:rPr>
              <w:t xml:space="preserve">CRA </w:t>
            </w:r>
            <w:r>
              <w:rPr>
                <w:rFonts w:ascii="Arial Narrow" w:hAnsi="Arial Narrow"/>
                <w:b/>
                <w:sz w:val="20"/>
              </w:rPr>
              <w:t>8</w:t>
            </w:r>
          </w:p>
        </w:tc>
        <w:tc>
          <w:tcPr>
            <w:tcW w:w="813" w:type="pct"/>
            <w:tcBorders>
              <w:top w:val="single" w:sz="4" w:space="0" w:color="auto"/>
              <w:left w:val="nil"/>
              <w:bottom w:val="single" w:sz="4" w:space="0" w:color="auto"/>
              <w:right w:val="nil"/>
            </w:tcBorders>
            <w:vAlign w:val="center"/>
          </w:tcPr>
          <w:p w14:paraId="502F0C97" w14:textId="77777777" w:rsidR="007879A2" w:rsidRDefault="007879A2" w:rsidP="002F42FC">
            <w:pPr>
              <w:spacing w:before="40" w:after="40"/>
              <w:jc w:val="center"/>
              <w:rPr>
                <w:rFonts w:ascii="Arial Narrow" w:hAnsi="Arial Narrow"/>
                <w:b/>
                <w:sz w:val="20"/>
              </w:rPr>
            </w:pPr>
            <w:r w:rsidRPr="00E22A43">
              <w:rPr>
                <w:rFonts w:ascii="Arial Narrow" w:hAnsi="Arial Narrow"/>
                <w:b/>
                <w:sz w:val="20"/>
              </w:rPr>
              <w:t>Customary</w:t>
            </w:r>
          </w:p>
          <w:p w14:paraId="3802D6FF" w14:textId="77777777" w:rsidR="007879A2" w:rsidRPr="00E22A43" w:rsidRDefault="007879A2" w:rsidP="002F42FC">
            <w:pPr>
              <w:spacing w:before="40" w:after="40"/>
              <w:jc w:val="center"/>
              <w:rPr>
                <w:rFonts w:ascii="Arial Narrow" w:hAnsi="Arial Narrow"/>
                <w:b/>
                <w:sz w:val="20"/>
              </w:rPr>
            </w:pPr>
            <w:r>
              <w:rPr>
                <w:rFonts w:ascii="Arial Narrow" w:hAnsi="Arial Narrow"/>
                <w:b/>
                <w:sz w:val="20"/>
              </w:rPr>
              <w:t>Māori</w:t>
            </w:r>
          </w:p>
        </w:tc>
        <w:tc>
          <w:tcPr>
            <w:tcW w:w="813" w:type="pct"/>
            <w:tcBorders>
              <w:top w:val="single" w:sz="4" w:space="0" w:color="auto"/>
              <w:left w:val="nil"/>
              <w:bottom w:val="single" w:sz="4" w:space="0" w:color="auto"/>
              <w:right w:val="nil"/>
            </w:tcBorders>
            <w:vAlign w:val="center"/>
          </w:tcPr>
          <w:p w14:paraId="5FFEBBD1" w14:textId="77777777" w:rsidR="007879A2" w:rsidRPr="00E22A43" w:rsidRDefault="007879A2" w:rsidP="002F42FC">
            <w:pPr>
              <w:spacing w:before="40" w:after="40"/>
              <w:jc w:val="center"/>
              <w:rPr>
                <w:rFonts w:ascii="Arial Narrow" w:hAnsi="Arial Narrow"/>
                <w:b/>
                <w:sz w:val="20"/>
              </w:rPr>
            </w:pPr>
            <w:r w:rsidRPr="00E22A43">
              <w:rPr>
                <w:rFonts w:ascii="Arial Narrow" w:hAnsi="Arial Narrow"/>
                <w:b/>
                <w:sz w:val="20"/>
              </w:rPr>
              <w:t>Recreational</w:t>
            </w:r>
          </w:p>
        </w:tc>
        <w:tc>
          <w:tcPr>
            <w:tcW w:w="813" w:type="pct"/>
            <w:tcBorders>
              <w:top w:val="single" w:sz="4" w:space="0" w:color="auto"/>
              <w:left w:val="nil"/>
              <w:bottom w:val="single" w:sz="4" w:space="0" w:color="auto"/>
              <w:right w:val="nil"/>
            </w:tcBorders>
            <w:vAlign w:val="center"/>
          </w:tcPr>
          <w:p w14:paraId="4A783032" w14:textId="77777777" w:rsidR="007879A2" w:rsidRPr="00E22A43" w:rsidRDefault="007879A2" w:rsidP="002F42FC">
            <w:pPr>
              <w:spacing w:before="40" w:after="40"/>
              <w:jc w:val="center"/>
              <w:rPr>
                <w:rFonts w:ascii="Arial Narrow" w:hAnsi="Arial Narrow"/>
                <w:b/>
                <w:sz w:val="20"/>
              </w:rPr>
            </w:pPr>
            <w:r w:rsidRPr="00E22A43">
              <w:rPr>
                <w:rFonts w:ascii="Arial Narrow" w:hAnsi="Arial Narrow"/>
                <w:b/>
                <w:sz w:val="20"/>
              </w:rPr>
              <w:t>Other mortality</w:t>
            </w:r>
          </w:p>
        </w:tc>
        <w:tc>
          <w:tcPr>
            <w:tcW w:w="813" w:type="pct"/>
            <w:tcBorders>
              <w:top w:val="single" w:sz="4" w:space="0" w:color="auto"/>
              <w:left w:val="nil"/>
              <w:bottom w:val="single" w:sz="4" w:space="0" w:color="auto"/>
              <w:right w:val="nil"/>
            </w:tcBorders>
            <w:vAlign w:val="center"/>
          </w:tcPr>
          <w:p w14:paraId="7FDDBDE2" w14:textId="77777777" w:rsidR="007879A2" w:rsidRPr="00E22A43" w:rsidRDefault="007879A2" w:rsidP="002F42FC">
            <w:pPr>
              <w:spacing w:before="40" w:after="40"/>
              <w:jc w:val="center"/>
              <w:rPr>
                <w:rFonts w:ascii="Arial Narrow" w:hAnsi="Arial Narrow"/>
                <w:b/>
                <w:sz w:val="20"/>
              </w:rPr>
            </w:pPr>
            <w:r w:rsidRPr="00E22A43">
              <w:rPr>
                <w:rFonts w:ascii="Arial Narrow" w:hAnsi="Arial Narrow"/>
                <w:b/>
                <w:sz w:val="20"/>
              </w:rPr>
              <w:t>Total</w:t>
            </w:r>
          </w:p>
        </w:tc>
      </w:tr>
      <w:tr w:rsidR="007879A2" w:rsidRPr="005A515B" w14:paraId="2B1CCE25" w14:textId="77777777" w:rsidTr="004474BD">
        <w:trPr>
          <w:trHeight w:val="491"/>
        </w:trPr>
        <w:tc>
          <w:tcPr>
            <w:tcW w:w="1747" w:type="pct"/>
            <w:tcBorders>
              <w:top w:val="single" w:sz="4" w:space="0" w:color="auto"/>
              <w:left w:val="nil"/>
              <w:bottom w:val="nil"/>
              <w:right w:val="nil"/>
            </w:tcBorders>
            <w:vAlign w:val="center"/>
          </w:tcPr>
          <w:p w14:paraId="0E3C7B7F" w14:textId="77777777" w:rsidR="007879A2" w:rsidRPr="00E22A43" w:rsidRDefault="007879A2" w:rsidP="004474BD">
            <w:pPr>
              <w:spacing w:before="40" w:after="40"/>
              <w:rPr>
                <w:rFonts w:ascii="Arial Narrow" w:hAnsi="Arial Narrow"/>
                <w:sz w:val="20"/>
              </w:rPr>
            </w:pPr>
            <w:r w:rsidRPr="00E22A43">
              <w:rPr>
                <w:rFonts w:ascii="Arial Narrow" w:hAnsi="Arial Narrow"/>
                <w:sz w:val="20"/>
              </w:rPr>
              <w:t>Current allowances</w:t>
            </w:r>
          </w:p>
        </w:tc>
        <w:tc>
          <w:tcPr>
            <w:tcW w:w="813" w:type="pct"/>
            <w:tcBorders>
              <w:top w:val="single" w:sz="4" w:space="0" w:color="auto"/>
              <w:left w:val="nil"/>
              <w:bottom w:val="nil"/>
              <w:right w:val="nil"/>
            </w:tcBorders>
            <w:vAlign w:val="center"/>
          </w:tcPr>
          <w:p w14:paraId="415A8031" w14:textId="77777777" w:rsidR="007879A2" w:rsidRDefault="007879A2" w:rsidP="002F42FC">
            <w:pPr>
              <w:spacing w:before="40" w:after="40"/>
              <w:jc w:val="center"/>
              <w:rPr>
                <w:rFonts w:ascii="Arial Narrow" w:hAnsi="Arial Narrow"/>
                <w:sz w:val="20"/>
              </w:rPr>
            </w:pPr>
            <w:r>
              <w:rPr>
                <w:rFonts w:ascii="Arial Narrow" w:hAnsi="Arial Narrow"/>
                <w:sz w:val="20"/>
              </w:rPr>
              <w:t>30</w:t>
            </w:r>
          </w:p>
        </w:tc>
        <w:tc>
          <w:tcPr>
            <w:tcW w:w="813" w:type="pct"/>
            <w:tcBorders>
              <w:top w:val="single" w:sz="4" w:space="0" w:color="auto"/>
              <w:left w:val="nil"/>
              <w:bottom w:val="nil"/>
              <w:right w:val="nil"/>
            </w:tcBorders>
            <w:vAlign w:val="center"/>
          </w:tcPr>
          <w:p w14:paraId="47F4B576" w14:textId="77777777" w:rsidR="007879A2" w:rsidRDefault="007879A2" w:rsidP="002F42FC">
            <w:pPr>
              <w:spacing w:before="40" w:after="40"/>
              <w:jc w:val="center"/>
              <w:rPr>
                <w:rFonts w:ascii="Arial Narrow" w:hAnsi="Arial Narrow"/>
                <w:sz w:val="20"/>
              </w:rPr>
            </w:pPr>
            <w:r>
              <w:rPr>
                <w:rFonts w:ascii="Arial Narrow" w:hAnsi="Arial Narrow"/>
                <w:sz w:val="20"/>
              </w:rPr>
              <w:t>33</w:t>
            </w:r>
          </w:p>
        </w:tc>
        <w:tc>
          <w:tcPr>
            <w:tcW w:w="813" w:type="pct"/>
            <w:tcBorders>
              <w:top w:val="single" w:sz="4" w:space="0" w:color="auto"/>
              <w:left w:val="nil"/>
              <w:bottom w:val="nil"/>
              <w:right w:val="nil"/>
            </w:tcBorders>
            <w:vAlign w:val="center"/>
          </w:tcPr>
          <w:p w14:paraId="11E24BA8" w14:textId="77777777" w:rsidR="007879A2" w:rsidRDefault="007879A2" w:rsidP="002F42FC">
            <w:pPr>
              <w:spacing w:before="40" w:after="40"/>
              <w:jc w:val="center"/>
              <w:rPr>
                <w:rFonts w:ascii="Arial Narrow" w:hAnsi="Arial Narrow"/>
                <w:sz w:val="20"/>
              </w:rPr>
            </w:pPr>
            <w:r>
              <w:rPr>
                <w:rFonts w:ascii="Arial Narrow" w:hAnsi="Arial Narrow"/>
                <w:sz w:val="20"/>
              </w:rPr>
              <w:t>28</w:t>
            </w:r>
          </w:p>
        </w:tc>
        <w:tc>
          <w:tcPr>
            <w:tcW w:w="813" w:type="pct"/>
            <w:tcBorders>
              <w:top w:val="single" w:sz="4" w:space="0" w:color="auto"/>
              <w:left w:val="nil"/>
              <w:bottom w:val="nil"/>
              <w:right w:val="nil"/>
            </w:tcBorders>
            <w:vAlign w:val="center"/>
          </w:tcPr>
          <w:p w14:paraId="317D3311" w14:textId="77777777" w:rsidR="007879A2" w:rsidRDefault="007879A2" w:rsidP="004474BD">
            <w:pPr>
              <w:spacing w:before="40" w:after="40"/>
              <w:contextualSpacing w:val="0"/>
              <w:jc w:val="center"/>
              <w:rPr>
                <w:rFonts w:ascii="Arial Narrow" w:hAnsi="Arial Narrow"/>
                <w:sz w:val="20"/>
              </w:rPr>
            </w:pPr>
            <w:r>
              <w:rPr>
                <w:rFonts w:ascii="Arial Narrow" w:hAnsi="Arial Narrow"/>
                <w:sz w:val="20"/>
              </w:rPr>
              <w:t>91</w:t>
            </w:r>
          </w:p>
        </w:tc>
      </w:tr>
      <w:tr w:rsidR="007879A2" w:rsidRPr="005A515B" w14:paraId="1FE84501" w14:textId="77777777" w:rsidTr="004474BD">
        <w:trPr>
          <w:trHeight w:val="336"/>
        </w:trPr>
        <w:tc>
          <w:tcPr>
            <w:tcW w:w="1747" w:type="pct"/>
            <w:tcBorders>
              <w:top w:val="nil"/>
              <w:left w:val="nil"/>
              <w:bottom w:val="single" w:sz="4" w:space="0" w:color="auto"/>
              <w:right w:val="nil"/>
            </w:tcBorders>
            <w:vAlign w:val="center"/>
          </w:tcPr>
          <w:p w14:paraId="0B1D3969" w14:textId="77777777" w:rsidR="007879A2" w:rsidRPr="00E22A43" w:rsidRDefault="007879A2" w:rsidP="00DB3227">
            <w:pPr>
              <w:spacing w:before="40" w:after="40"/>
              <w:contextualSpacing w:val="0"/>
              <w:rPr>
                <w:rFonts w:ascii="Arial Narrow" w:hAnsi="Arial Narrow"/>
                <w:sz w:val="20"/>
              </w:rPr>
            </w:pPr>
            <w:r w:rsidRPr="00E22A43">
              <w:rPr>
                <w:rFonts w:ascii="Arial Narrow" w:hAnsi="Arial Narrow"/>
                <w:sz w:val="20"/>
              </w:rPr>
              <w:t>N</w:t>
            </w:r>
            <w:r>
              <w:rPr>
                <w:rFonts w:ascii="Arial Narrow" w:hAnsi="Arial Narrow"/>
                <w:sz w:val="20"/>
              </w:rPr>
              <w:t>on-commercial catch assumptions</w:t>
            </w:r>
            <w:r>
              <w:rPr>
                <w:rFonts w:ascii="Arial Narrow" w:hAnsi="Arial Narrow"/>
                <w:sz w:val="20"/>
              </w:rPr>
              <w:br/>
            </w:r>
            <w:r w:rsidRPr="00E22A43">
              <w:rPr>
                <w:rFonts w:ascii="Arial Narrow" w:hAnsi="Arial Narrow"/>
                <w:sz w:val="20"/>
              </w:rPr>
              <w:t>for the 201</w:t>
            </w:r>
            <w:r>
              <w:rPr>
                <w:rFonts w:ascii="Arial Narrow" w:hAnsi="Arial Narrow"/>
                <w:sz w:val="20"/>
              </w:rPr>
              <w:t>5</w:t>
            </w:r>
            <w:r w:rsidRPr="00E22A43">
              <w:rPr>
                <w:rFonts w:ascii="Arial Narrow" w:hAnsi="Arial Narrow"/>
                <w:sz w:val="20"/>
              </w:rPr>
              <w:t xml:space="preserve"> stock assessment</w:t>
            </w:r>
          </w:p>
        </w:tc>
        <w:tc>
          <w:tcPr>
            <w:tcW w:w="813" w:type="pct"/>
            <w:tcBorders>
              <w:top w:val="nil"/>
              <w:left w:val="nil"/>
              <w:bottom w:val="single" w:sz="4" w:space="0" w:color="auto"/>
              <w:right w:val="nil"/>
            </w:tcBorders>
            <w:vAlign w:val="center"/>
          </w:tcPr>
          <w:p w14:paraId="7B302E0F" w14:textId="77777777" w:rsidR="007879A2" w:rsidRDefault="007879A2" w:rsidP="002F42FC">
            <w:pPr>
              <w:spacing w:before="40" w:after="40"/>
              <w:jc w:val="center"/>
              <w:rPr>
                <w:rFonts w:ascii="Arial Narrow" w:hAnsi="Arial Narrow"/>
                <w:sz w:val="20"/>
              </w:rPr>
            </w:pPr>
            <w:r>
              <w:rPr>
                <w:rFonts w:ascii="Arial Narrow" w:hAnsi="Arial Narrow"/>
                <w:sz w:val="20"/>
              </w:rPr>
              <w:t>10</w:t>
            </w:r>
          </w:p>
        </w:tc>
        <w:tc>
          <w:tcPr>
            <w:tcW w:w="813" w:type="pct"/>
            <w:tcBorders>
              <w:top w:val="nil"/>
              <w:left w:val="nil"/>
              <w:bottom w:val="single" w:sz="4" w:space="0" w:color="auto"/>
              <w:right w:val="nil"/>
            </w:tcBorders>
            <w:vAlign w:val="center"/>
          </w:tcPr>
          <w:p w14:paraId="0263E925" w14:textId="77777777" w:rsidR="007879A2" w:rsidRDefault="007879A2" w:rsidP="002F42FC">
            <w:pPr>
              <w:spacing w:before="40" w:after="40"/>
              <w:jc w:val="center"/>
              <w:rPr>
                <w:rFonts w:ascii="Arial Narrow" w:hAnsi="Arial Narrow"/>
                <w:sz w:val="20"/>
              </w:rPr>
            </w:pPr>
            <w:r>
              <w:rPr>
                <w:rFonts w:ascii="Arial Narrow" w:hAnsi="Arial Narrow"/>
                <w:sz w:val="20"/>
              </w:rPr>
              <w:t>20</w:t>
            </w:r>
          </w:p>
        </w:tc>
        <w:tc>
          <w:tcPr>
            <w:tcW w:w="813" w:type="pct"/>
            <w:tcBorders>
              <w:top w:val="nil"/>
              <w:left w:val="nil"/>
              <w:bottom w:val="single" w:sz="4" w:space="0" w:color="auto"/>
              <w:right w:val="nil"/>
            </w:tcBorders>
            <w:vAlign w:val="center"/>
          </w:tcPr>
          <w:p w14:paraId="4DF3CEF0" w14:textId="7D9AD7D9" w:rsidR="007879A2" w:rsidRDefault="00DB3227" w:rsidP="002F42FC">
            <w:pPr>
              <w:spacing w:before="40" w:after="40"/>
              <w:jc w:val="center"/>
              <w:rPr>
                <w:rFonts w:ascii="Arial Narrow" w:hAnsi="Arial Narrow"/>
                <w:sz w:val="20"/>
              </w:rPr>
            </w:pPr>
            <w:r>
              <w:rPr>
                <w:rFonts w:ascii="Arial Narrow" w:hAnsi="Arial Narrow"/>
                <w:sz w:val="20"/>
              </w:rPr>
              <w:t>3 from</w:t>
            </w:r>
            <w:r>
              <w:rPr>
                <w:rFonts w:ascii="Arial Narrow" w:hAnsi="Arial Narrow"/>
                <w:sz w:val="20"/>
              </w:rPr>
              <w:br/>
              <w:t>2011 to 2014</w:t>
            </w:r>
          </w:p>
        </w:tc>
        <w:tc>
          <w:tcPr>
            <w:tcW w:w="813" w:type="pct"/>
            <w:tcBorders>
              <w:top w:val="nil"/>
              <w:left w:val="nil"/>
              <w:bottom w:val="single" w:sz="4" w:space="0" w:color="auto"/>
              <w:right w:val="nil"/>
            </w:tcBorders>
            <w:vAlign w:val="center"/>
          </w:tcPr>
          <w:p w14:paraId="1D56A442" w14:textId="7504AE1E" w:rsidR="007879A2" w:rsidRDefault="00DB3227" w:rsidP="002F42FC">
            <w:pPr>
              <w:spacing w:before="40" w:after="40"/>
              <w:jc w:val="center"/>
              <w:rPr>
                <w:rFonts w:ascii="Arial Narrow" w:hAnsi="Arial Narrow"/>
                <w:sz w:val="20"/>
              </w:rPr>
            </w:pPr>
            <w:r>
              <w:rPr>
                <w:rFonts w:ascii="Arial Narrow" w:hAnsi="Arial Narrow"/>
                <w:sz w:val="20"/>
              </w:rPr>
              <w:t>33</w:t>
            </w:r>
          </w:p>
        </w:tc>
      </w:tr>
    </w:tbl>
    <w:p w14:paraId="61DB1BF1" w14:textId="40B60CA0" w:rsidR="007879A2" w:rsidRDefault="007879A2" w:rsidP="007D1930">
      <w:pPr>
        <w:rPr>
          <w:rFonts w:ascii="Arial" w:hAnsi="Arial" w:cs="Arial"/>
          <w:sz w:val="22"/>
          <w:szCs w:val="22"/>
        </w:rPr>
      </w:pPr>
    </w:p>
    <w:p w14:paraId="73773EED" w14:textId="77057041" w:rsidR="007879A2" w:rsidRPr="007D1930" w:rsidRDefault="007879A2" w:rsidP="004474BD">
      <w:pPr>
        <w:tabs>
          <w:tab w:val="left" w:pos="3950"/>
        </w:tabs>
        <w:rPr>
          <w:rFonts w:ascii="Arial" w:hAnsi="Arial" w:cs="Arial"/>
          <w:sz w:val="22"/>
          <w:szCs w:val="22"/>
        </w:rPr>
      </w:pPr>
    </w:p>
    <w:p w14:paraId="285C571A" w14:textId="48542256" w:rsidR="002B7E06" w:rsidRPr="000C4B0D" w:rsidRDefault="002B7E06" w:rsidP="00C1118A">
      <w:pPr>
        <w:spacing w:after="120"/>
        <w:contextualSpacing w:val="0"/>
        <w:rPr>
          <w:rFonts w:ascii="Arial Narrow" w:hAnsi="Arial Narrow"/>
          <w:i/>
        </w:rPr>
      </w:pPr>
      <w:r w:rsidRPr="000C4B0D">
        <w:rPr>
          <w:rFonts w:ascii="Arial Narrow" w:hAnsi="Arial Narrow"/>
          <w:i/>
        </w:rPr>
        <w:t>Customary Māor</w:t>
      </w:r>
      <w:r w:rsidR="00C1118A" w:rsidRPr="000C4B0D">
        <w:rPr>
          <w:rFonts w:ascii="Arial Narrow" w:hAnsi="Arial Narrow"/>
          <w:i/>
        </w:rPr>
        <w:t>i fishing</w:t>
      </w:r>
    </w:p>
    <w:p w14:paraId="798637AA" w14:textId="34B5225E" w:rsidR="002B7E06" w:rsidRPr="00D57F9F" w:rsidRDefault="007879A2" w:rsidP="000E51AE">
      <w:pPr>
        <w:pStyle w:val="ListParagraph"/>
        <w:numPr>
          <w:ilvl w:val="0"/>
          <w:numId w:val="26"/>
        </w:numPr>
        <w:spacing w:after="0" w:line="240" w:lineRule="auto"/>
        <w:ind w:left="567" w:hanging="567"/>
        <w:jc w:val="left"/>
        <w:rPr>
          <w:rFonts w:ascii="Arial" w:hAnsi="Arial" w:cs="Arial"/>
          <w:szCs w:val="20"/>
        </w:rPr>
      </w:pPr>
      <w:r>
        <w:rPr>
          <w:rFonts w:ascii="Arial" w:hAnsi="Arial" w:cs="Arial"/>
          <w:szCs w:val="20"/>
        </w:rPr>
        <w:t xml:space="preserve">No change is proposed to the 30 tonne </w:t>
      </w:r>
      <w:r w:rsidR="002B7E06" w:rsidRPr="00D57F9F">
        <w:rPr>
          <w:rFonts w:ascii="Arial" w:hAnsi="Arial" w:cs="Arial"/>
          <w:szCs w:val="20"/>
        </w:rPr>
        <w:t>customar</w:t>
      </w:r>
      <w:r>
        <w:rPr>
          <w:rFonts w:ascii="Arial" w:hAnsi="Arial" w:cs="Arial"/>
          <w:szCs w:val="20"/>
        </w:rPr>
        <w:t xml:space="preserve">y Māori allowance, because current harvest is considered to be conservative and is well within the allocation </w:t>
      </w:r>
      <w:r w:rsidR="00161ED0">
        <w:rPr>
          <w:rFonts w:ascii="Arial" w:hAnsi="Arial" w:cs="Arial"/>
          <w:szCs w:val="20"/>
        </w:rPr>
        <w:t xml:space="preserve">for </w:t>
      </w:r>
      <w:r>
        <w:rPr>
          <w:rFonts w:ascii="Arial" w:hAnsi="Arial" w:cs="Arial"/>
          <w:szCs w:val="20"/>
        </w:rPr>
        <w:t>this interest at this time.</w:t>
      </w:r>
    </w:p>
    <w:p w14:paraId="2D126FF1" w14:textId="77777777" w:rsidR="002B7E06" w:rsidRPr="00D57F9F" w:rsidRDefault="002B7E06" w:rsidP="002B7E06">
      <w:pPr>
        <w:ind w:left="567" w:hanging="567"/>
        <w:rPr>
          <w:rFonts w:ascii="Arial" w:hAnsi="Arial" w:cs="Arial"/>
          <w:sz w:val="22"/>
        </w:rPr>
      </w:pPr>
    </w:p>
    <w:p w14:paraId="34B2B6D2" w14:textId="0C9F8B7A" w:rsidR="002B7E06" w:rsidRPr="000C4B0D" w:rsidRDefault="002B7E06" w:rsidP="00C1118A">
      <w:pPr>
        <w:spacing w:after="120"/>
        <w:contextualSpacing w:val="0"/>
        <w:rPr>
          <w:rFonts w:ascii="Arial Narrow" w:hAnsi="Arial Narrow"/>
          <w:i/>
        </w:rPr>
      </w:pPr>
      <w:r w:rsidRPr="000C4B0D">
        <w:rPr>
          <w:rFonts w:ascii="Arial Narrow" w:hAnsi="Arial Narrow"/>
          <w:i/>
        </w:rPr>
        <w:t xml:space="preserve">Recreational </w:t>
      </w:r>
      <w:r w:rsidR="00C1118A" w:rsidRPr="000C4B0D">
        <w:rPr>
          <w:rFonts w:ascii="Arial Narrow" w:hAnsi="Arial Narrow"/>
          <w:i/>
        </w:rPr>
        <w:t>fishing</w:t>
      </w:r>
    </w:p>
    <w:p w14:paraId="6BC52BF4" w14:textId="3CB3A672" w:rsidR="007879A2" w:rsidRPr="007879A2" w:rsidRDefault="007879A2" w:rsidP="007879A2">
      <w:pPr>
        <w:pStyle w:val="ListParagraph"/>
        <w:numPr>
          <w:ilvl w:val="0"/>
          <w:numId w:val="26"/>
        </w:numPr>
        <w:spacing w:after="0" w:line="240" w:lineRule="auto"/>
        <w:ind w:left="567" w:hanging="567"/>
        <w:jc w:val="left"/>
        <w:rPr>
          <w:rFonts w:ascii="Arial" w:hAnsi="Arial" w:cs="Arial"/>
          <w:szCs w:val="20"/>
        </w:rPr>
      </w:pPr>
      <w:r>
        <w:rPr>
          <w:rFonts w:ascii="Arial" w:hAnsi="Arial" w:cs="Arial"/>
        </w:rPr>
        <w:t>No change is proposed to the 33 tonne recreational allowance for CRA 8. While there is uncertainty in the current estimate of recreational catch, it is considered to be within the current 33 tonne allowance.</w:t>
      </w:r>
    </w:p>
    <w:p w14:paraId="530540C6" w14:textId="77777777" w:rsidR="007879A2" w:rsidRPr="007879A2" w:rsidRDefault="007879A2" w:rsidP="007879A2">
      <w:pPr>
        <w:rPr>
          <w:rFonts w:ascii="Arial" w:hAnsi="Arial" w:cs="Arial"/>
        </w:rPr>
      </w:pPr>
    </w:p>
    <w:p w14:paraId="15FD7E31" w14:textId="4E639D38" w:rsidR="007879A2" w:rsidRDefault="007879A2" w:rsidP="007879A2">
      <w:pPr>
        <w:pStyle w:val="ListParagraph"/>
        <w:numPr>
          <w:ilvl w:val="0"/>
          <w:numId w:val="26"/>
        </w:numPr>
        <w:spacing w:after="0" w:line="240" w:lineRule="auto"/>
        <w:ind w:left="567" w:hanging="567"/>
        <w:jc w:val="left"/>
        <w:rPr>
          <w:rFonts w:ascii="Arial" w:hAnsi="Arial" w:cs="Arial"/>
          <w:szCs w:val="24"/>
        </w:rPr>
      </w:pPr>
      <w:r>
        <w:rPr>
          <w:rFonts w:ascii="Arial" w:hAnsi="Arial" w:cs="Arial"/>
          <w:szCs w:val="24"/>
        </w:rPr>
        <w:t>The 33 tonne recreationa</w:t>
      </w:r>
      <w:r w:rsidR="002A374F">
        <w:rPr>
          <w:rFonts w:ascii="Arial" w:hAnsi="Arial" w:cs="Arial"/>
          <w:szCs w:val="24"/>
        </w:rPr>
        <w:t>l allowance was first set in 200</w:t>
      </w:r>
      <w:r>
        <w:rPr>
          <w:rFonts w:ascii="Arial" w:hAnsi="Arial" w:cs="Arial"/>
          <w:szCs w:val="24"/>
        </w:rPr>
        <w:t>9 on the basis of estimates available from surveys at the time, which are now considered to be bias</w:t>
      </w:r>
      <w:r w:rsidR="00161ED0">
        <w:rPr>
          <w:rFonts w:ascii="Arial" w:hAnsi="Arial" w:cs="Arial"/>
          <w:szCs w:val="24"/>
        </w:rPr>
        <w:t>ed and likely to be overestimates</w:t>
      </w:r>
      <w:r>
        <w:rPr>
          <w:rFonts w:ascii="Arial" w:hAnsi="Arial" w:cs="Arial"/>
          <w:szCs w:val="24"/>
        </w:rPr>
        <w:t xml:space="preserve">. A new </w:t>
      </w:r>
      <w:r w:rsidR="002A374F">
        <w:rPr>
          <w:rFonts w:ascii="Arial" w:hAnsi="Arial" w:cs="Arial"/>
          <w:szCs w:val="24"/>
        </w:rPr>
        <w:t>CRA 8</w:t>
      </w:r>
      <w:r>
        <w:rPr>
          <w:rFonts w:ascii="Arial" w:hAnsi="Arial" w:cs="Arial"/>
          <w:szCs w:val="24"/>
        </w:rPr>
        <w:t xml:space="preserve"> recreational harvest estimate is expected in 2019 from the </w:t>
      </w:r>
      <w:r w:rsidR="00161ED0">
        <w:rPr>
          <w:rFonts w:ascii="Arial" w:hAnsi="Arial" w:cs="Arial"/>
          <w:szCs w:val="24"/>
        </w:rPr>
        <w:t>2017/18 National Panel Survey of</w:t>
      </w:r>
      <w:r>
        <w:rPr>
          <w:rFonts w:ascii="Arial" w:hAnsi="Arial" w:cs="Arial"/>
          <w:szCs w:val="24"/>
        </w:rPr>
        <w:t xml:space="preserve"> recreational harvest. This estimate will be considered in future allowance setting</w:t>
      </w:r>
      <w:r w:rsidR="00E21388">
        <w:rPr>
          <w:rFonts w:ascii="Arial" w:hAnsi="Arial" w:cs="Arial"/>
          <w:szCs w:val="24"/>
        </w:rPr>
        <w:t>,</w:t>
      </w:r>
      <w:r>
        <w:rPr>
          <w:rFonts w:ascii="Arial" w:hAnsi="Arial" w:cs="Arial"/>
          <w:szCs w:val="24"/>
        </w:rPr>
        <w:t xml:space="preserve"> or in a revi</w:t>
      </w:r>
      <w:r w:rsidR="00E21388">
        <w:rPr>
          <w:rFonts w:ascii="Arial" w:hAnsi="Arial" w:cs="Arial"/>
          <w:szCs w:val="24"/>
        </w:rPr>
        <w:t>ew of other management controls for recreational fishers.</w:t>
      </w:r>
    </w:p>
    <w:p w14:paraId="61C0ADCD" w14:textId="77777777" w:rsidR="007879A2" w:rsidRPr="002727C6" w:rsidRDefault="007879A2" w:rsidP="00C1118A">
      <w:pPr>
        <w:pStyle w:val="ListParagraph"/>
        <w:spacing w:after="0" w:line="240" w:lineRule="auto"/>
        <w:ind w:left="567"/>
        <w:jc w:val="left"/>
        <w:rPr>
          <w:rFonts w:ascii="Arial" w:hAnsi="Arial" w:cs="Arial"/>
          <w:szCs w:val="20"/>
        </w:rPr>
      </w:pPr>
    </w:p>
    <w:p w14:paraId="1B790814" w14:textId="77777777" w:rsidR="002A374F" w:rsidRDefault="002A374F">
      <w:pPr>
        <w:spacing w:after="160" w:line="259" w:lineRule="auto"/>
        <w:contextualSpacing w:val="0"/>
        <w:rPr>
          <w:rFonts w:ascii="Arial Narrow" w:hAnsi="Arial Narrow"/>
          <w:i/>
        </w:rPr>
      </w:pPr>
      <w:r>
        <w:rPr>
          <w:rFonts w:ascii="Arial Narrow" w:hAnsi="Arial Narrow"/>
          <w:i/>
        </w:rPr>
        <w:br w:type="page"/>
      </w:r>
    </w:p>
    <w:p w14:paraId="43967485" w14:textId="7E33921B" w:rsidR="002B7E06" w:rsidRPr="000C4B0D" w:rsidRDefault="002B7E06" w:rsidP="000C4B0D">
      <w:pPr>
        <w:spacing w:after="120"/>
        <w:contextualSpacing w:val="0"/>
        <w:rPr>
          <w:rFonts w:ascii="Arial Narrow" w:hAnsi="Arial Narrow"/>
          <w:i/>
        </w:rPr>
      </w:pPr>
      <w:r w:rsidRPr="000C4B0D">
        <w:rPr>
          <w:rFonts w:ascii="Arial Narrow" w:hAnsi="Arial Narrow"/>
          <w:i/>
        </w:rPr>
        <w:lastRenderedPageBreak/>
        <w:t>Other mortality</w:t>
      </w:r>
    </w:p>
    <w:p w14:paraId="43D7C72D" w14:textId="27A8F92A" w:rsidR="002A374F" w:rsidRPr="00DB3227" w:rsidRDefault="004474BD" w:rsidP="00DB3227">
      <w:pPr>
        <w:pStyle w:val="ListParagraph"/>
        <w:numPr>
          <w:ilvl w:val="0"/>
          <w:numId w:val="26"/>
        </w:numPr>
        <w:spacing w:after="0" w:line="240" w:lineRule="auto"/>
        <w:ind w:left="567" w:hanging="567"/>
        <w:jc w:val="left"/>
        <w:rPr>
          <w:rFonts w:ascii="Arial" w:hAnsi="Arial" w:cs="Arial"/>
          <w:szCs w:val="20"/>
        </w:rPr>
      </w:pPr>
      <w:r>
        <w:rPr>
          <w:rFonts w:ascii="Arial" w:hAnsi="Arial" w:cs="Arial"/>
        </w:rPr>
        <w:t>No change is proposed</w:t>
      </w:r>
      <w:r w:rsidR="00DB3227">
        <w:rPr>
          <w:rFonts w:ascii="Arial" w:hAnsi="Arial" w:cs="Arial"/>
        </w:rPr>
        <w:t xml:space="preserve"> to the 28 tonne CRA 8</w:t>
      </w:r>
      <w:r w:rsidRPr="007440F3">
        <w:rPr>
          <w:rFonts w:ascii="Arial" w:hAnsi="Arial" w:cs="Arial"/>
        </w:rPr>
        <w:t xml:space="preserve"> allowance for other sources of fishing-related mortality. </w:t>
      </w:r>
      <w:r w:rsidR="00161801">
        <w:rPr>
          <w:rFonts w:ascii="Arial" w:hAnsi="Arial" w:cs="Arial"/>
          <w:szCs w:val="20"/>
        </w:rPr>
        <w:t>An estimate of handling-</w:t>
      </w:r>
      <w:r w:rsidR="002A374F" w:rsidRPr="00DB3227">
        <w:rPr>
          <w:rFonts w:ascii="Arial" w:hAnsi="Arial" w:cs="Arial"/>
          <w:szCs w:val="20"/>
        </w:rPr>
        <w:t>related mortality is not currently avail</w:t>
      </w:r>
      <w:r w:rsidR="00DB3227">
        <w:rPr>
          <w:rFonts w:ascii="Arial" w:hAnsi="Arial" w:cs="Arial"/>
          <w:szCs w:val="20"/>
        </w:rPr>
        <w:t xml:space="preserve">able for CRA 8, and will </w:t>
      </w:r>
      <w:r w:rsidR="002A374F" w:rsidRPr="00DB3227">
        <w:rPr>
          <w:rFonts w:ascii="Arial" w:hAnsi="Arial" w:cs="Arial"/>
          <w:szCs w:val="20"/>
        </w:rPr>
        <w:t>be estimated at the time of the next proposed CRA 8 stock assessment in 2020.</w:t>
      </w:r>
      <w:r w:rsidR="00DB3227">
        <w:rPr>
          <w:rFonts w:ascii="Arial" w:hAnsi="Arial" w:cs="Arial"/>
          <w:szCs w:val="20"/>
        </w:rPr>
        <w:t xml:space="preserve"> This information will be considered in future allowance setting.</w:t>
      </w:r>
    </w:p>
    <w:p w14:paraId="618F8487" w14:textId="47DD34BB" w:rsidR="002A374F" w:rsidRPr="00DB3227" w:rsidRDefault="002A374F" w:rsidP="00DB3227">
      <w:pPr>
        <w:rPr>
          <w:rFonts w:ascii="Arial" w:hAnsi="Arial" w:cs="Arial"/>
          <w:highlight w:val="cyan"/>
        </w:rPr>
      </w:pPr>
    </w:p>
    <w:p w14:paraId="37B1DB0F" w14:textId="1BB6B410" w:rsidR="002B7E06" w:rsidRDefault="002B7E06" w:rsidP="005741F5">
      <w:pPr>
        <w:pStyle w:val="Heading3"/>
        <w:ind w:left="720" w:hanging="720"/>
      </w:pPr>
      <w:r>
        <w:t>T</w:t>
      </w:r>
      <w:r w:rsidR="000129AB">
        <w:t xml:space="preserve">otal </w:t>
      </w:r>
      <w:r>
        <w:t>A</w:t>
      </w:r>
      <w:r w:rsidR="000129AB">
        <w:t xml:space="preserve">llowable </w:t>
      </w:r>
      <w:r>
        <w:t>C</w:t>
      </w:r>
      <w:r w:rsidR="000129AB">
        <w:t xml:space="preserve">ommercial </w:t>
      </w:r>
      <w:r>
        <w:t>C</w:t>
      </w:r>
      <w:r w:rsidR="000129AB">
        <w:t>atch</w:t>
      </w:r>
    </w:p>
    <w:p w14:paraId="088D4D5C" w14:textId="77777777" w:rsidR="007D1930" w:rsidRDefault="007D1930" w:rsidP="007D1930">
      <w:pPr>
        <w:pStyle w:val="ListParagraph"/>
        <w:spacing w:after="0" w:line="240" w:lineRule="auto"/>
        <w:ind w:left="567"/>
        <w:jc w:val="left"/>
        <w:rPr>
          <w:rFonts w:ascii="Arial" w:hAnsi="Arial" w:cs="Arial"/>
        </w:rPr>
      </w:pPr>
    </w:p>
    <w:p w14:paraId="47A1E6A5" w14:textId="1FC9EA29" w:rsidR="000C4B0D" w:rsidRPr="000C4B0D" w:rsidRDefault="002B7E06" w:rsidP="000C4B0D">
      <w:pPr>
        <w:pStyle w:val="ListParagraph"/>
        <w:numPr>
          <w:ilvl w:val="0"/>
          <w:numId w:val="26"/>
        </w:numPr>
        <w:spacing w:after="0" w:line="240" w:lineRule="auto"/>
        <w:ind w:left="567" w:hanging="567"/>
        <w:jc w:val="left"/>
        <w:rPr>
          <w:rFonts w:ascii="Arial" w:hAnsi="Arial" w:cs="Arial"/>
        </w:rPr>
      </w:pPr>
      <w:r w:rsidRPr="000C4B0D">
        <w:rPr>
          <w:rFonts w:ascii="Arial" w:hAnsi="Arial" w:cs="Arial"/>
          <w:szCs w:val="20"/>
        </w:rPr>
        <w:t>Under Option CRA8_01, the CRA 8 TACC would stay at its current level</w:t>
      </w:r>
      <w:r w:rsidR="002A374F">
        <w:rPr>
          <w:rFonts w:ascii="Arial" w:hAnsi="Arial" w:cs="Arial"/>
          <w:szCs w:val="20"/>
        </w:rPr>
        <w:t xml:space="preserve"> of 1070.7 tonnes</w:t>
      </w:r>
      <w:r w:rsidRPr="000C4B0D">
        <w:rPr>
          <w:rFonts w:ascii="Arial" w:hAnsi="Arial" w:cs="Arial"/>
          <w:szCs w:val="20"/>
        </w:rPr>
        <w:t>. This option would maintain the current level of utilisation of the commercial fishery without realising the potential for increased sustainable utilisation for commercial fisher</w:t>
      </w:r>
      <w:r w:rsidR="000C4B0D">
        <w:rPr>
          <w:rFonts w:ascii="Arial" w:hAnsi="Arial" w:cs="Arial"/>
          <w:szCs w:val="20"/>
        </w:rPr>
        <w:t>s.</w:t>
      </w:r>
    </w:p>
    <w:p w14:paraId="6A6C48E1" w14:textId="77777777" w:rsidR="000C4B0D" w:rsidRPr="000C4B0D" w:rsidRDefault="000C4B0D" w:rsidP="000C4B0D">
      <w:pPr>
        <w:pStyle w:val="ListParagraph"/>
        <w:rPr>
          <w:rFonts w:ascii="Arial" w:hAnsi="Arial" w:cs="Arial"/>
        </w:rPr>
      </w:pPr>
    </w:p>
    <w:p w14:paraId="47180374" w14:textId="638FB8F4" w:rsidR="002B7E06" w:rsidRPr="000C4B0D" w:rsidRDefault="0054406D" w:rsidP="000C4B0D">
      <w:pPr>
        <w:pStyle w:val="ListParagraph"/>
        <w:numPr>
          <w:ilvl w:val="0"/>
          <w:numId w:val="26"/>
        </w:numPr>
        <w:spacing w:after="0" w:line="240" w:lineRule="auto"/>
        <w:ind w:left="567" w:hanging="567"/>
        <w:jc w:val="left"/>
        <w:rPr>
          <w:rFonts w:ascii="Arial" w:hAnsi="Arial" w:cs="Arial"/>
        </w:rPr>
      </w:pPr>
      <w:r w:rsidRPr="00390F23">
        <w:rPr>
          <w:noProof/>
          <w:lang w:eastAsia="en-NZ"/>
        </w:rPr>
        <mc:AlternateContent>
          <mc:Choice Requires="wps">
            <w:drawing>
              <wp:anchor distT="45720" distB="45720" distL="114300" distR="114300" simplePos="0" relativeHeight="251665408" behindDoc="0" locked="0" layoutInCell="1" allowOverlap="1" wp14:anchorId="16FBC3AF" wp14:editId="7C00C34C">
                <wp:simplePos x="0" y="0"/>
                <wp:positionH relativeFrom="margin">
                  <wp:align>right</wp:align>
                </wp:positionH>
                <wp:positionV relativeFrom="paragraph">
                  <wp:posOffset>1026298</wp:posOffset>
                </wp:positionV>
                <wp:extent cx="5266055" cy="723265"/>
                <wp:effectExtent l="76200" t="76200" r="86995" b="9588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723265"/>
                        </a:xfrm>
                        <a:prstGeom prst="roundRect">
                          <a:avLst/>
                        </a:prstGeom>
                        <a:solidFill>
                          <a:srgbClr val="FFFFFF"/>
                        </a:solidFill>
                        <a:ln w="19050">
                          <a:solidFill>
                            <a:srgbClr val="000000"/>
                          </a:solidFill>
                          <a:miter lim="800000"/>
                          <a:headEnd/>
                          <a:tailEnd/>
                        </a:ln>
                        <a:effectLst>
                          <a:glow rad="63500">
                            <a:schemeClr val="tx1">
                              <a:alpha val="40000"/>
                            </a:schemeClr>
                          </a:glow>
                        </a:effectLst>
                      </wps:spPr>
                      <wps:txbx>
                        <w:txbxContent>
                          <w:p w14:paraId="287F6A5F" w14:textId="77777777" w:rsidR="0054406D" w:rsidRPr="00C71340" w:rsidRDefault="0054406D" w:rsidP="0054406D">
                            <w:pPr>
                              <w:spacing w:after="120"/>
                              <w:contextualSpacing w:val="0"/>
                              <w:rPr>
                                <w:rFonts w:ascii="Arial Narrow" w:hAnsi="Arial Narrow"/>
                                <w:b/>
                                <w:szCs w:val="24"/>
                              </w:rPr>
                            </w:pPr>
                            <w:r w:rsidRPr="00C71340">
                              <w:rPr>
                                <w:rFonts w:ascii="Arial Narrow" w:hAnsi="Arial Narrow"/>
                                <w:b/>
                                <w:szCs w:val="24"/>
                                <w:u w:val="single"/>
                              </w:rPr>
                              <w:t>Discussion questions:</w:t>
                            </w:r>
                            <w:r w:rsidRPr="00C71340">
                              <w:rPr>
                                <w:rFonts w:ascii="Arial Narrow" w:hAnsi="Arial Narrow"/>
                                <w:b/>
                                <w:szCs w:val="24"/>
                              </w:rPr>
                              <w:t xml:space="preserve"> </w:t>
                            </w:r>
                          </w:p>
                          <w:p w14:paraId="3B2085FE" w14:textId="77777777" w:rsidR="0054406D" w:rsidRPr="0054406D" w:rsidRDefault="0054406D" w:rsidP="0054406D">
                            <w:pPr>
                              <w:pStyle w:val="ListParagraph"/>
                              <w:numPr>
                                <w:ilvl w:val="0"/>
                                <w:numId w:val="33"/>
                              </w:numPr>
                              <w:spacing w:after="120" w:line="240" w:lineRule="auto"/>
                              <w:ind w:left="714" w:hanging="357"/>
                              <w:contextualSpacing w:val="0"/>
                              <w:rPr>
                                <w:rFonts w:ascii="Arial Narrow" w:hAnsi="Arial Narrow"/>
                                <w:b/>
                                <w:sz w:val="24"/>
                                <w:szCs w:val="24"/>
                              </w:rPr>
                            </w:pPr>
                            <w:r>
                              <w:rPr>
                                <w:rFonts w:ascii="Arial Narrow" w:hAnsi="Arial Narrow"/>
                                <w:b/>
                                <w:sz w:val="24"/>
                                <w:szCs w:val="24"/>
                              </w:rPr>
                              <w:t>Do you agree that these are the correct options to consider</w:t>
                            </w:r>
                            <w:r w:rsidRPr="00C71340">
                              <w:rPr>
                                <w:rFonts w:ascii="Arial Narrow" w:hAnsi="Arial Narrow"/>
                                <w:b/>
                                <w:sz w:val="24"/>
                                <w:szCs w:val="24"/>
                              </w:rPr>
                              <w:t>?</w:t>
                            </w:r>
                            <w:r>
                              <w:rPr>
                                <w:rFonts w:ascii="Arial Narrow" w:hAnsi="Arial Narrow"/>
                                <w:b/>
                                <w:sz w:val="24"/>
                                <w:szCs w:val="24"/>
                              </w:rPr>
                              <w:t xml:space="preserve"> If not, why not?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6FBC3AF" id="Text Box 7" o:spid="_x0000_s1029" style="position:absolute;left:0;text-align:left;margin-left:363.45pt;margin-top:80.8pt;width:414.65pt;height:56.9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" strokeweight="1.5pt">
                <v:stroke joinstyle="miter"/>
                <v:textbox>
                  <w:txbxContent>
                    <w:p w14:paraId="287F6A5F" w14:textId="77777777" w:rsidR="0054406D" w:rsidRPr="00C71340" w:rsidRDefault="0054406D" w:rsidP="0054406D">
                      <w:pPr>
                        <w:spacing w:after="120"/>
                        <w:contextualSpacing w:val="0"/>
                        <w:rPr>
                          <w:rFonts w:ascii="Arial Narrow" w:hAnsi="Arial Narrow"/>
                          <w:b/>
                          <w:szCs w:val="24"/>
                        </w:rPr>
                      </w:pPr>
                      <w:r w:rsidRPr="00C71340">
                        <w:rPr>
                          <w:rFonts w:ascii="Arial Narrow" w:hAnsi="Arial Narrow"/>
                          <w:b/>
                          <w:szCs w:val="24"/>
                          <w:u w:val="single"/>
                        </w:rPr>
                        <w:t>Discussion questions:</w:t>
                      </w:r>
                      <w:r w:rsidRPr="00C71340">
                        <w:rPr>
                          <w:rFonts w:ascii="Arial Narrow" w:hAnsi="Arial Narrow"/>
                          <w:b/>
                          <w:szCs w:val="24"/>
                        </w:rPr>
                        <w:t xml:space="preserve"> </w:t>
                      </w:r>
                    </w:p>
                    <w:p w14:paraId="3B2085FE" w14:textId="77777777" w:rsidR="0054406D" w:rsidRPr="0054406D" w:rsidRDefault="0054406D" w:rsidP="0054406D">
                      <w:pPr>
                        <w:pStyle w:val="ListParagraph"/>
                        <w:numPr>
                          <w:ilvl w:val="0"/>
                          <w:numId w:val="33"/>
                        </w:numPr>
                        <w:spacing w:after="120" w:line="240" w:lineRule="auto"/>
                        <w:ind w:left="714" w:hanging="357"/>
                        <w:contextualSpacing w:val="0"/>
                        <w:rPr>
                          <w:rFonts w:ascii="Arial Narrow" w:hAnsi="Arial Narrow"/>
                          <w:b/>
                          <w:sz w:val="24"/>
                          <w:szCs w:val="24"/>
                        </w:rPr>
                      </w:pPr>
                      <w:r>
                        <w:rPr>
                          <w:rFonts w:ascii="Arial Narrow" w:hAnsi="Arial Narrow"/>
                          <w:b/>
                          <w:sz w:val="24"/>
                          <w:szCs w:val="24"/>
                        </w:rPr>
                        <w:t>Do you agree that these are the correct options to consider</w:t>
                      </w:r>
                      <w:r w:rsidRPr="00C71340">
                        <w:rPr>
                          <w:rFonts w:ascii="Arial Narrow" w:hAnsi="Arial Narrow"/>
                          <w:b/>
                          <w:sz w:val="24"/>
                          <w:szCs w:val="24"/>
                        </w:rPr>
                        <w:t>?</w:t>
                      </w:r>
                      <w:r>
                        <w:rPr>
                          <w:rFonts w:ascii="Arial Narrow" w:hAnsi="Arial Narrow"/>
                          <w:b/>
                          <w:sz w:val="24"/>
                          <w:szCs w:val="24"/>
                        </w:rPr>
                        <w:t xml:space="preserve"> If not, why not?</w:t>
                      </w:r>
                    </w:p>
                  </w:txbxContent>
                </v:textbox>
                <w10:wrap type="square" anchorx="margin"/>
              </v:roundrect>
            </w:pict>
          </mc:Fallback>
        </mc:AlternateContent>
      </w:r>
      <w:r w:rsidR="002B7E06" w:rsidRPr="000C4B0D">
        <w:rPr>
          <w:rFonts w:ascii="Arial" w:hAnsi="Arial" w:cs="Arial"/>
        </w:rPr>
        <w:t>Under Option CRA8_02, the CRA 8 TACC would be increased to 1,</w:t>
      </w:r>
      <w:r w:rsidR="003B548D" w:rsidRPr="000C4B0D">
        <w:rPr>
          <w:rFonts w:ascii="Arial" w:hAnsi="Arial" w:cs="Arial"/>
        </w:rPr>
        <w:t>129.6</w:t>
      </w:r>
      <w:r w:rsidR="002B7E06" w:rsidRPr="000C4B0D">
        <w:rPr>
          <w:rFonts w:ascii="Arial" w:hAnsi="Arial" w:cs="Arial"/>
        </w:rPr>
        <w:t xml:space="preserve"> tonnes from 1 </w:t>
      </w:r>
      <w:r w:rsidR="003B548D" w:rsidRPr="000C4B0D">
        <w:rPr>
          <w:rFonts w:ascii="Arial" w:hAnsi="Arial" w:cs="Arial"/>
        </w:rPr>
        <w:t>April 2019</w:t>
      </w:r>
      <w:r w:rsidR="002B7E06" w:rsidRPr="000C4B0D">
        <w:rPr>
          <w:rFonts w:ascii="Arial" w:hAnsi="Arial" w:cs="Arial"/>
        </w:rPr>
        <w:t xml:space="preserve">, as guided by the use of the CRA 8 management procedure. The proposed </w:t>
      </w:r>
      <w:r w:rsidR="003B548D" w:rsidRPr="000C4B0D">
        <w:rPr>
          <w:rFonts w:ascii="Arial" w:hAnsi="Arial" w:cs="Arial"/>
        </w:rPr>
        <w:t>58.9</w:t>
      </w:r>
      <w:r w:rsidR="002B7E06" w:rsidRPr="000C4B0D">
        <w:rPr>
          <w:rFonts w:ascii="Arial" w:hAnsi="Arial" w:cs="Arial"/>
        </w:rPr>
        <w:t xml:space="preserve"> tonne TACC increase has the potential to result in an increase in annual revenue to the catching sector alone of </w:t>
      </w:r>
      <w:r w:rsidR="007B38C1" w:rsidRPr="000C4B0D">
        <w:rPr>
          <w:rFonts w:ascii="Arial" w:hAnsi="Arial" w:cs="Arial"/>
        </w:rPr>
        <w:t>$4.69</w:t>
      </w:r>
      <w:r w:rsidR="002B7E06" w:rsidRPr="000C4B0D">
        <w:rPr>
          <w:rFonts w:ascii="Arial" w:hAnsi="Arial" w:cs="Arial"/>
        </w:rPr>
        <w:t xml:space="preserve"> million (based on 2017 average port price information).</w:t>
      </w:r>
      <w:r w:rsidR="00DC673F">
        <w:rPr>
          <w:rStyle w:val="FootnoteReference"/>
          <w:rFonts w:ascii="Arial" w:hAnsi="Arial" w:cs="Arial"/>
        </w:rPr>
        <w:footnoteReference w:id="18"/>
      </w:r>
    </w:p>
    <w:p w14:paraId="7F496243" w14:textId="26D8BB21" w:rsidR="002B7E06" w:rsidRDefault="002B7E06" w:rsidP="002B7E06">
      <w:pPr>
        <w:pStyle w:val="ListParagraph"/>
        <w:spacing w:after="0" w:line="240" w:lineRule="auto"/>
        <w:ind w:left="567"/>
        <w:rPr>
          <w:rFonts w:ascii="Arial" w:hAnsi="Arial" w:cs="Arial"/>
        </w:rPr>
      </w:pPr>
    </w:p>
    <w:p w14:paraId="6513E085" w14:textId="44DDF9FE" w:rsidR="002A374F" w:rsidRDefault="002A374F" w:rsidP="002B7E06">
      <w:pPr>
        <w:pStyle w:val="ListParagraph"/>
        <w:spacing w:after="0" w:line="240" w:lineRule="auto"/>
        <w:ind w:left="567"/>
        <w:rPr>
          <w:rFonts w:ascii="Arial" w:hAnsi="Arial" w:cs="Arial"/>
        </w:rPr>
      </w:pPr>
    </w:p>
    <w:p w14:paraId="48D6DA6B" w14:textId="3CAF5769" w:rsidR="0054406D" w:rsidRDefault="0054406D" w:rsidP="002B7E06">
      <w:pPr>
        <w:pStyle w:val="ListParagraph"/>
        <w:spacing w:after="0" w:line="240" w:lineRule="auto"/>
        <w:ind w:left="567"/>
        <w:rPr>
          <w:rFonts w:ascii="Arial" w:hAnsi="Arial" w:cs="Arial"/>
        </w:rPr>
      </w:pPr>
    </w:p>
    <w:p w14:paraId="6547A058" w14:textId="77777777" w:rsidR="002A374F" w:rsidRPr="00420700" w:rsidRDefault="002A374F" w:rsidP="002B7E06">
      <w:pPr>
        <w:pStyle w:val="ListParagraph"/>
        <w:spacing w:after="0" w:line="240" w:lineRule="auto"/>
        <w:ind w:left="567"/>
        <w:rPr>
          <w:rFonts w:ascii="Arial" w:hAnsi="Arial" w:cs="Arial"/>
        </w:rPr>
      </w:pPr>
    </w:p>
    <w:p w14:paraId="17426EE8" w14:textId="77777777" w:rsidR="002C54A7" w:rsidRDefault="002C54A7">
      <w:pPr>
        <w:spacing w:after="160" w:line="259" w:lineRule="auto"/>
        <w:contextualSpacing w:val="0"/>
        <w:rPr>
          <w:rFonts w:ascii="Arial Narrow" w:hAnsi="Arial Narrow"/>
          <w:b/>
          <w:kern w:val="28"/>
          <w:sz w:val="36"/>
        </w:rPr>
      </w:pPr>
      <w:bookmarkStart w:id="116" w:name="_Toc500855040"/>
      <w:bookmarkStart w:id="117" w:name="_Toc501013892"/>
      <w:bookmarkStart w:id="118" w:name="_Toc501526391"/>
      <w:bookmarkStart w:id="119" w:name="_Toc501698639"/>
      <w:bookmarkStart w:id="120" w:name="_Toc503362786"/>
      <w:bookmarkStart w:id="121" w:name="_Toc531692800"/>
      <w:bookmarkStart w:id="122" w:name="_Toc532471899"/>
      <w:r>
        <w:br w:type="page"/>
      </w:r>
    </w:p>
    <w:p w14:paraId="32BC1278" w14:textId="607F85F2" w:rsidR="002B7E06" w:rsidRDefault="002B7E06" w:rsidP="00887A9E">
      <w:pPr>
        <w:pStyle w:val="Heading1"/>
        <w:numPr>
          <w:ilvl w:val="0"/>
          <w:numId w:val="4"/>
        </w:numPr>
        <w:ind w:left="567" w:hanging="567"/>
      </w:pPr>
      <w:r>
        <w:lastRenderedPageBreak/>
        <w:t>Other Relevant Matters</w:t>
      </w:r>
      <w:bookmarkEnd w:id="99"/>
      <w:bookmarkEnd w:id="116"/>
      <w:bookmarkEnd w:id="117"/>
      <w:bookmarkEnd w:id="118"/>
      <w:bookmarkEnd w:id="119"/>
      <w:bookmarkEnd w:id="120"/>
      <w:bookmarkEnd w:id="121"/>
      <w:bookmarkEnd w:id="122"/>
    </w:p>
    <w:p w14:paraId="0E126E91" w14:textId="58C6EEB6" w:rsidR="002B7E06" w:rsidRPr="003121AD" w:rsidRDefault="002B7E06" w:rsidP="009D1C04">
      <w:pPr>
        <w:pStyle w:val="Heading2"/>
        <w:spacing w:after="60"/>
      </w:pPr>
      <w:bookmarkStart w:id="123" w:name="_Toc501013895"/>
      <w:bookmarkStart w:id="124" w:name="_Toc501526394"/>
      <w:bookmarkStart w:id="125" w:name="_Toc501698642"/>
      <w:bookmarkStart w:id="126" w:name="_Toc503362792"/>
      <w:bookmarkStart w:id="127" w:name="_Toc531692802"/>
      <w:bookmarkStart w:id="128" w:name="_Toc532471900"/>
      <w:bookmarkStart w:id="129" w:name="_Toc469576747"/>
      <w:bookmarkStart w:id="130" w:name="_Toc500855042"/>
      <w:r>
        <w:t>Deemed Value Rates</w:t>
      </w:r>
      <w:bookmarkEnd w:id="123"/>
      <w:bookmarkEnd w:id="124"/>
      <w:bookmarkEnd w:id="125"/>
      <w:bookmarkEnd w:id="126"/>
      <w:bookmarkEnd w:id="127"/>
      <w:bookmarkEnd w:id="128"/>
    </w:p>
    <w:p w14:paraId="74286F2A" w14:textId="5DCC510C" w:rsidR="002B7E06" w:rsidRPr="00D57F9F" w:rsidRDefault="002B7E06" w:rsidP="00F1422F">
      <w:pPr>
        <w:pStyle w:val="ListParagraph"/>
        <w:numPr>
          <w:ilvl w:val="0"/>
          <w:numId w:val="26"/>
        </w:numPr>
        <w:spacing w:after="0" w:line="240" w:lineRule="auto"/>
        <w:ind w:left="567" w:hanging="567"/>
        <w:jc w:val="left"/>
        <w:rPr>
          <w:rFonts w:ascii="Arial" w:hAnsi="Arial" w:cs="Arial"/>
          <w:szCs w:val="24"/>
        </w:rPr>
      </w:pPr>
      <w:r w:rsidRPr="00D57F9F">
        <w:rPr>
          <w:rFonts w:ascii="Arial" w:hAnsi="Arial" w:cs="Arial"/>
          <w:szCs w:val="24"/>
        </w:rPr>
        <w:t>Deemed values are charges commercial fishers must pay for every kilogram of stocks landed in excess of their Annual Catch Entitlement (ACE) holdings. The purpose of the deemed value framework is to encourage commercial fishers to balance their catch with ACE.</w:t>
      </w:r>
    </w:p>
    <w:p w14:paraId="4E3D8AD4" w14:textId="77777777" w:rsidR="002B7E06" w:rsidRPr="00D57F9F" w:rsidRDefault="002B7E06" w:rsidP="002B7E06">
      <w:pPr>
        <w:ind w:left="567" w:hanging="567"/>
        <w:rPr>
          <w:rFonts w:ascii="Arial" w:hAnsi="Arial" w:cs="Arial"/>
          <w:sz w:val="22"/>
          <w:szCs w:val="24"/>
        </w:rPr>
      </w:pPr>
    </w:p>
    <w:p w14:paraId="2A03C880" w14:textId="77777777" w:rsidR="002B7E06" w:rsidRPr="00D57F9F" w:rsidRDefault="002B7E06" w:rsidP="00F1422F">
      <w:pPr>
        <w:pStyle w:val="ListParagraph"/>
        <w:numPr>
          <w:ilvl w:val="0"/>
          <w:numId w:val="26"/>
        </w:numPr>
        <w:spacing w:after="0" w:line="240" w:lineRule="auto"/>
        <w:ind w:left="567" w:hanging="567"/>
        <w:jc w:val="left"/>
        <w:rPr>
          <w:rFonts w:ascii="Arial" w:hAnsi="Arial" w:cs="Arial"/>
          <w:szCs w:val="24"/>
        </w:rPr>
      </w:pPr>
      <w:r w:rsidRPr="00D57F9F">
        <w:rPr>
          <w:rFonts w:ascii="Arial" w:hAnsi="Arial" w:cs="Arial"/>
          <w:szCs w:val="24"/>
        </w:rPr>
        <w:t>Under section 75 of the Act, the Minister must set annual and interim deemed value rates for all stocks managed in the Quota Management System and may vary such rates, after considering specific matters. Any deemed value set takes effect from the first day of the next fishing year for the stock concerned. The annual deemed value rate must be greater than the interim deemed value rate.</w:t>
      </w:r>
    </w:p>
    <w:p w14:paraId="6E2F9609" w14:textId="77777777" w:rsidR="002B7E06" w:rsidRPr="00D57F9F" w:rsidRDefault="002B7E06" w:rsidP="002B7E06">
      <w:pPr>
        <w:ind w:left="567" w:hanging="567"/>
        <w:rPr>
          <w:rFonts w:ascii="Arial" w:hAnsi="Arial" w:cs="Arial"/>
          <w:sz w:val="22"/>
          <w:szCs w:val="24"/>
        </w:rPr>
      </w:pPr>
    </w:p>
    <w:p w14:paraId="329BD8AC" w14:textId="3EBC4B36" w:rsidR="002B7E06" w:rsidRPr="00D57F9F" w:rsidRDefault="002B7E06" w:rsidP="00F1422F">
      <w:pPr>
        <w:pStyle w:val="ListParagraph"/>
        <w:numPr>
          <w:ilvl w:val="0"/>
          <w:numId w:val="26"/>
        </w:numPr>
        <w:spacing w:after="0" w:line="240" w:lineRule="auto"/>
        <w:ind w:left="567" w:hanging="567"/>
        <w:jc w:val="left"/>
        <w:rPr>
          <w:rFonts w:ascii="Arial" w:hAnsi="Arial" w:cs="Arial"/>
          <w:szCs w:val="24"/>
        </w:rPr>
      </w:pPr>
      <w:r w:rsidRPr="00D57F9F">
        <w:rPr>
          <w:rFonts w:ascii="Arial" w:hAnsi="Arial" w:cs="Arial"/>
          <w:szCs w:val="24"/>
        </w:rPr>
        <w:t xml:space="preserve">The interim deemed value rate for all rock lobster stocks (including CRA </w:t>
      </w:r>
      <w:r w:rsidR="00556109">
        <w:rPr>
          <w:rFonts w:ascii="Arial" w:hAnsi="Arial" w:cs="Arial"/>
          <w:szCs w:val="24"/>
        </w:rPr>
        <w:t>3</w:t>
      </w:r>
      <w:r w:rsidR="007879A2">
        <w:rPr>
          <w:rFonts w:ascii="Arial" w:hAnsi="Arial" w:cs="Arial"/>
          <w:szCs w:val="24"/>
        </w:rPr>
        <w:t xml:space="preserve">, 4, </w:t>
      </w:r>
      <w:r w:rsidRPr="00D57F9F">
        <w:rPr>
          <w:rFonts w:ascii="Arial" w:hAnsi="Arial" w:cs="Arial"/>
          <w:szCs w:val="24"/>
        </w:rPr>
        <w:t>and 8) is currently set at 90% of the annual deemed value rate. As the current interim and annual deemed value rates are consistent with the Deemed Value Guidelines</w:t>
      </w:r>
      <w:r w:rsidRPr="00D57F9F">
        <w:rPr>
          <w:rStyle w:val="FootnoteReference"/>
          <w:rFonts w:ascii="Arial" w:eastAsiaTheme="majorEastAsia" w:hAnsi="Arial" w:cs="Arial"/>
          <w:szCs w:val="24"/>
        </w:rPr>
        <w:footnoteReference w:id="19"/>
      </w:r>
      <w:r w:rsidRPr="00D57F9F">
        <w:rPr>
          <w:rFonts w:ascii="Arial" w:hAnsi="Arial" w:cs="Arial"/>
          <w:szCs w:val="24"/>
        </w:rPr>
        <w:t xml:space="preserve">, no changes are proposed to the deemed value rates for any rock lobster stocks, as outlined in Table </w:t>
      </w:r>
      <w:r w:rsidR="007879A2">
        <w:rPr>
          <w:rFonts w:ascii="Arial" w:hAnsi="Arial" w:cs="Arial"/>
          <w:szCs w:val="24"/>
        </w:rPr>
        <w:t>9</w:t>
      </w:r>
      <w:r w:rsidRPr="00D57F9F">
        <w:rPr>
          <w:rFonts w:ascii="Arial" w:hAnsi="Arial" w:cs="Arial"/>
          <w:szCs w:val="24"/>
        </w:rPr>
        <w:t>.</w:t>
      </w:r>
    </w:p>
    <w:p w14:paraId="1FD40CA3" w14:textId="77777777" w:rsidR="002B7E06" w:rsidRPr="009C2938" w:rsidRDefault="002B7E06" w:rsidP="002B7E06">
      <w:pPr>
        <w:rPr>
          <w:rFonts w:ascii="Times New Roman" w:hAnsi="Times New Roman"/>
        </w:rPr>
      </w:pPr>
    </w:p>
    <w:p w14:paraId="24F58E00" w14:textId="1E13BE67" w:rsidR="002B7E06" w:rsidRPr="009D1C04" w:rsidRDefault="002B7E06" w:rsidP="00B80E5A">
      <w:pPr>
        <w:pStyle w:val="TableMainTitle"/>
        <w:keepNext/>
        <w:spacing w:after="120"/>
        <w:rPr>
          <w:sz w:val="22"/>
          <w:szCs w:val="22"/>
        </w:rPr>
      </w:pPr>
      <w:r w:rsidRPr="009D1C04">
        <w:rPr>
          <w:sz w:val="22"/>
          <w:szCs w:val="22"/>
        </w:rPr>
        <w:t xml:space="preserve">Table </w:t>
      </w:r>
      <w:r w:rsidR="007879A2">
        <w:rPr>
          <w:sz w:val="22"/>
          <w:szCs w:val="22"/>
        </w:rPr>
        <w:t>9</w:t>
      </w:r>
      <w:r w:rsidRPr="009D1C04">
        <w:rPr>
          <w:sz w:val="22"/>
          <w:szCs w:val="22"/>
        </w:rPr>
        <w:t>: Standard Deemed Value Rates ($/kg) for all rock lobster stocks.</w:t>
      </w:r>
    </w:p>
    <w:tbl>
      <w:tblPr>
        <w:tblW w:w="42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8"/>
        <w:gridCol w:w="1046"/>
        <w:gridCol w:w="1045"/>
        <w:gridCol w:w="1043"/>
        <w:gridCol w:w="1045"/>
        <w:gridCol w:w="1043"/>
        <w:gridCol w:w="1214"/>
      </w:tblGrid>
      <w:tr w:rsidR="002B7E06" w:rsidRPr="005A515B" w14:paraId="642251E5" w14:textId="77777777" w:rsidTr="001526FC">
        <w:trPr>
          <w:trHeight w:val="20"/>
        </w:trPr>
        <w:tc>
          <w:tcPr>
            <w:tcW w:w="817" w:type="pct"/>
            <w:vMerge w:val="restart"/>
            <w:tcBorders>
              <w:left w:val="nil"/>
              <w:right w:val="nil"/>
            </w:tcBorders>
            <w:vAlign w:val="center"/>
          </w:tcPr>
          <w:p w14:paraId="7B556618" w14:textId="77777777" w:rsidR="002B7E06" w:rsidRDefault="002B7E06" w:rsidP="00B4198E">
            <w:pPr>
              <w:keepNext/>
              <w:spacing w:before="40" w:after="40"/>
              <w:contextualSpacing w:val="0"/>
              <w:jc w:val="center"/>
              <w:rPr>
                <w:rFonts w:ascii="Arial Narrow" w:hAnsi="Arial Narrow"/>
                <w:b/>
                <w:sz w:val="20"/>
              </w:rPr>
            </w:pPr>
            <w:r>
              <w:rPr>
                <w:rFonts w:ascii="Arial Narrow" w:hAnsi="Arial Narrow"/>
                <w:b/>
                <w:sz w:val="20"/>
              </w:rPr>
              <w:t>Interim Rate ($/kg)</w:t>
            </w:r>
          </w:p>
        </w:tc>
        <w:tc>
          <w:tcPr>
            <w:tcW w:w="4183" w:type="pct"/>
            <w:gridSpan w:val="6"/>
            <w:tcBorders>
              <w:left w:val="nil"/>
              <w:right w:val="nil"/>
            </w:tcBorders>
            <w:vAlign w:val="center"/>
          </w:tcPr>
          <w:p w14:paraId="163AAD98" w14:textId="77777777" w:rsidR="002B7E06" w:rsidRDefault="002B7E06" w:rsidP="00B4198E">
            <w:pPr>
              <w:keepNext/>
              <w:spacing w:before="40" w:after="40"/>
              <w:contextualSpacing w:val="0"/>
              <w:jc w:val="center"/>
              <w:rPr>
                <w:rFonts w:ascii="Arial Narrow" w:hAnsi="Arial Narrow"/>
                <w:b/>
                <w:sz w:val="20"/>
              </w:rPr>
            </w:pPr>
            <w:r>
              <w:rPr>
                <w:rFonts w:ascii="Arial Narrow" w:hAnsi="Arial Narrow"/>
                <w:b/>
                <w:sz w:val="20"/>
              </w:rPr>
              <w:t>Annual Differential Rates ($/kg) for excess catch (% of ACE)</w:t>
            </w:r>
          </w:p>
        </w:tc>
      </w:tr>
      <w:tr w:rsidR="002B7E06" w:rsidRPr="005A515B" w14:paraId="3C6C0C39" w14:textId="77777777" w:rsidTr="001526FC">
        <w:trPr>
          <w:trHeight w:val="20"/>
        </w:trPr>
        <w:tc>
          <w:tcPr>
            <w:tcW w:w="817" w:type="pct"/>
            <w:vMerge/>
            <w:tcBorders>
              <w:left w:val="nil"/>
              <w:bottom w:val="single" w:sz="4" w:space="0" w:color="auto"/>
              <w:right w:val="nil"/>
            </w:tcBorders>
            <w:vAlign w:val="center"/>
          </w:tcPr>
          <w:p w14:paraId="13ACA871" w14:textId="77777777" w:rsidR="002B7E06" w:rsidRPr="005A515B" w:rsidRDefault="002B7E06" w:rsidP="00B4198E">
            <w:pPr>
              <w:keepNext/>
              <w:spacing w:before="40" w:after="40"/>
              <w:contextualSpacing w:val="0"/>
              <w:jc w:val="center"/>
              <w:rPr>
                <w:rFonts w:ascii="Arial Narrow" w:hAnsi="Arial Narrow"/>
                <w:b/>
                <w:sz w:val="20"/>
              </w:rPr>
            </w:pPr>
          </w:p>
        </w:tc>
        <w:tc>
          <w:tcPr>
            <w:tcW w:w="680" w:type="pct"/>
            <w:tcBorders>
              <w:left w:val="nil"/>
              <w:right w:val="nil"/>
            </w:tcBorders>
            <w:vAlign w:val="center"/>
          </w:tcPr>
          <w:p w14:paraId="61C6C041" w14:textId="77777777" w:rsidR="002B7E06" w:rsidRDefault="002B7E06" w:rsidP="00B4198E">
            <w:pPr>
              <w:keepNext/>
              <w:spacing w:before="40" w:after="40"/>
              <w:contextualSpacing w:val="0"/>
              <w:jc w:val="center"/>
              <w:rPr>
                <w:rFonts w:ascii="Arial Narrow" w:hAnsi="Arial Narrow"/>
                <w:b/>
                <w:sz w:val="20"/>
              </w:rPr>
            </w:pPr>
            <w:r>
              <w:rPr>
                <w:rFonts w:ascii="Arial Narrow" w:hAnsi="Arial Narrow"/>
                <w:b/>
                <w:sz w:val="20"/>
              </w:rPr>
              <w:t>100-120%</w:t>
            </w:r>
          </w:p>
        </w:tc>
        <w:tc>
          <w:tcPr>
            <w:tcW w:w="679" w:type="pct"/>
            <w:tcBorders>
              <w:left w:val="nil"/>
              <w:bottom w:val="single" w:sz="4" w:space="0" w:color="auto"/>
              <w:right w:val="nil"/>
            </w:tcBorders>
            <w:vAlign w:val="center"/>
          </w:tcPr>
          <w:p w14:paraId="20CA6936" w14:textId="77777777" w:rsidR="002B7E06" w:rsidRDefault="002B7E06" w:rsidP="00B4198E">
            <w:pPr>
              <w:keepNext/>
              <w:spacing w:before="40" w:after="40"/>
              <w:contextualSpacing w:val="0"/>
              <w:jc w:val="center"/>
              <w:rPr>
                <w:rFonts w:ascii="Arial Narrow" w:hAnsi="Arial Narrow"/>
                <w:b/>
                <w:sz w:val="20"/>
              </w:rPr>
            </w:pPr>
            <w:r>
              <w:rPr>
                <w:rFonts w:ascii="Arial Narrow" w:hAnsi="Arial Narrow"/>
                <w:b/>
                <w:sz w:val="20"/>
              </w:rPr>
              <w:t>120-140%</w:t>
            </w:r>
          </w:p>
        </w:tc>
        <w:tc>
          <w:tcPr>
            <w:tcW w:w="678" w:type="pct"/>
            <w:tcBorders>
              <w:left w:val="nil"/>
              <w:bottom w:val="single" w:sz="4" w:space="0" w:color="auto"/>
              <w:right w:val="nil"/>
            </w:tcBorders>
            <w:vAlign w:val="center"/>
          </w:tcPr>
          <w:p w14:paraId="1033102A" w14:textId="77777777" w:rsidR="002B7E06" w:rsidRDefault="002B7E06" w:rsidP="00B4198E">
            <w:pPr>
              <w:keepNext/>
              <w:spacing w:before="40" w:after="40"/>
              <w:contextualSpacing w:val="0"/>
              <w:jc w:val="center"/>
              <w:rPr>
                <w:rFonts w:ascii="Arial Narrow" w:hAnsi="Arial Narrow"/>
                <w:b/>
                <w:sz w:val="20"/>
              </w:rPr>
            </w:pPr>
            <w:r>
              <w:rPr>
                <w:rFonts w:ascii="Arial Narrow" w:hAnsi="Arial Narrow"/>
                <w:b/>
                <w:sz w:val="20"/>
              </w:rPr>
              <w:t>140-160%</w:t>
            </w:r>
          </w:p>
        </w:tc>
        <w:tc>
          <w:tcPr>
            <w:tcW w:w="679" w:type="pct"/>
            <w:tcBorders>
              <w:left w:val="nil"/>
              <w:bottom w:val="single" w:sz="4" w:space="0" w:color="auto"/>
              <w:right w:val="nil"/>
            </w:tcBorders>
            <w:vAlign w:val="center"/>
          </w:tcPr>
          <w:p w14:paraId="11FFE30B" w14:textId="77777777" w:rsidR="002B7E06" w:rsidRDefault="002B7E06" w:rsidP="00B4198E">
            <w:pPr>
              <w:keepNext/>
              <w:spacing w:before="40" w:after="40"/>
              <w:contextualSpacing w:val="0"/>
              <w:jc w:val="center"/>
              <w:rPr>
                <w:rFonts w:ascii="Arial Narrow" w:hAnsi="Arial Narrow"/>
                <w:b/>
                <w:sz w:val="20"/>
              </w:rPr>
            </w:pPr>
            <w:r>
              <w:rPr>
                <w:rFonts w:ascii="Arial Narrow" w:hAnsi="Arial Narrow"/>
                <w:b/>
                <w:sz w:val="20"/>
              </w:rPr>
              <w:t>160-180%</w:t>
            </w:r>
          </w:p>
        </w:tc>
        <w:tc>
          <w:tcPr>
            <w:tcW w:w="678" w:type="pct"/>
            <w:tcBorders>
              <w:left w:val="nil"/>
              <w:bottom w:val="single" w:sz="4" w:space="0" w:color="auto"/>
              <w:right w:val="nil"/>
            </w:tcBorders>
            <w:vAlign w:val="center"/>
          </w:tcPr>
          <w:p w14:paraId="20B5D0EC" w14:textId="77777777" w:rsidR="002B7E06" w:rsidRDefault="002B7E06" w:rsidP="00B4198E">
            <w:pPr>
              <w:keepNext/>
              <w:spacing w:before="40" w:after="40"/>
              <w:contextualSpacing w:val="0"/>
              <w:jc w:val="center"/>
              <w:rPr>
                <w:rFonts w:ascii="Arial Narrow" w:hAnsi="Arial Narrow"/>
                <w:b/>
                <w:sz w:val="20"/>
              </w:rPr>
            </w:pPr>
            <w:r>
              <w:rPr>
                <w:rFonts w:ascii="Arial Narrow" w:hAnsi="Arial Narrow"/>
                <w:b/>
                <w:sz w:val="20"/>
              </w:rPr>
              <w:t>180-200%</w:t>
            </w:r>
          </w:p>
        </w:tc>
        <w:tc>
          <w:tcPr>
            <w:tcW w:w="789" w:type="pct"/>
            <w:tcBorders>
              <w:left w:val="nil"/>
              <w:bottom w:val="single" w:sz="4" w:space="0" w:color="auto"/>
              <w:right w:val="nil"/>
            </w:tcBorders>
            <w:vAlign w:val="center"/>
          </w:tcPr>
          <w:p w14:paraId="7A1CC2DA" w14:textId="77777777" w:rsidR="002B7E06" w:rsidRDefault="002B7E06" w:rsidP="00B4198E">
            <w:pPr>
              <w:keepNext/>
              <w:spacing w:before="40" w:after="40"/>
              <w:contextualSpacing w:val="0"/>
              <w:jc w:val="center"/>
              <w:rPr>
                <w:rFonts w:ascii="Arial Narrow" w:hAnsi="Arial Narrow"/>
                <w:b/>
                <w:sz w:val="20"/>
              </w:rPr>
            </w:pPr>
            <w:r>
              <w:rPr>
                <w:rFonts w:ascii="Arial Narrow" w:hAnsi="Arial Narrow"/>
                <w:b/>
                <w:sz w:val="20"/>
              </w:rPr>
              <w:t>200%+</w:t>
            </w:r>
          </w:p>
        </w:tc>
      </w:tr>
      <w:tr w:rsidR="002B7E06" w:rsidRPr="005A515B" w14:paraId="59346A6D" w14:textId="77777777" w:rsidTr="001526FC">
        <w:trPr>
          <w:trHeight w:val="291"/>
        </w:trPr>
        <w:tc>
          <w:tcPr>
            <w:tcW w:w="817" w:type="pct"/>
            <w:tcBorders>
              <w:left w:val="nil"/>
              <w:right w:val="nil"/>
            </w:tcBorders>
            <w:shd w:val="clear" w:color="auto" w:fill="auto"/>
            <w:vAlign w:val="center"/>
          </w:tcPr>
          <w:p w14:paraId="181DB742" w14:textId="77777777" w:rsidR="002B7E06" w:rsidRPr="005A515B" w:rsidRDefault="002B7E06" w:rsidP="00B4198E">
            <w:pPr>
              <w:keepNext/>
              <w:spacing w:before="40" w:after="40"/>
              <w:contextualSpacing w:val="0"/>
              <w:jc w:val="center"/>
              <w:rPr>
                <w:rFonts w:ascii="Arial Narrow" w:hAnsi="Arial Narrow"/>
                <w:sz w:val="20"/>
              </w:rPr>
            </w:pPr>
            <w:r>
              <w:rPr>
                <w:rFonts w:ascii="Arial Narrow" w:hAnsi="Arial Narrow"/>
                <w:sz w:val="20"/>
              </w:rPr>
              <w:t>99.00</w:t>
            </w:r>
          </w:p>
        </w:tc>
        <w:tc>
          <w:tcPr>
            <w:tcW w:w="680" w:type="pct"/>
            <w:tcBorders>
              <w:left w:val="nil"/>
              <w:right w:val="nil"/>
            </w:tcBorders>
            <w:shd w:val="clear" w:color="auto" w:fill="auto"/>
            <w:vAlign w:val="center"/>
          </w:tcPr>
          <w:p w14:paraId="470C1C91" w14:textId="77777777" w:rsidR="002B7E06" w:rsidRPr="005A515B" w:rsidRDefault="002B7E06" w:rsidP="00B4198E">
            <w:pPr>
              <w:keepNext/>
              <w:spacing w:before="40" w:after="40"/>
              <w:contextualSpacing w:val="0"/>
              <w:jc w:val="center"/>
              <w:rPr>
                <w:rFonts w:ascii="Arial Narrow" w:hAnsi="Arial Narrow"/>
                <w:sz w:val="20"/>
              </w:rPr>
            </w:pPr>
            <w:r>
              <w:rPr>
                <w:rFonts w:ascii="Arial Narrow" w:hAnsi="Arial Narrow"/>
                <w:sz w:val="20"/>
              </w:rPr>
              <w:t>110.00</w:t>
            </w:r>
          </w:p>
        </w:tc>
        <w:tc>
          <w:tcPr>
            <w:tcW w:w="679" w:type="pct"/>
            <w:tcBorders>
              <w:left w:val="nil"/>
              <w:right w:val="nil"/>
            </w:tcBorders>
            <w:shd w:val="clear" w:color="auto" w:fill="auto"/>
            <w:vAlign w:val="center"/>
          </w:tcPr>
          <w:p w14:paraId="36B0CC5B" w14:textId="77777777" w:rsidR="002B7E06" w:rsidRPr="005A515B" w:rsidRDefault="002B7E06" w:rsidP="00B4198E">
            <w:pPr>
              <w:keepNext/>
              <w:spacing w:before="40" w:after="40"/>
              <w:contextualSpacing w:val="0"/>
              <w:jc w:val="center"/>
              <w:rPr>
                <w:rFonts w:ascii="Arial Narrow" w:hAnsi="Arial Narrow"/>
                <w:sz w:val="20"/>
              </w:rPr>
            </w:pPr>
            <w:r>
              <w:rPr>
                <w:rFonts w:ascii="Arial Narrow" w:hAnsi="Arial Narrow"/>
                <w:sz w:val="20"/>
              </w:rPr>
              <w:t>132.00</w:t>
            </w:r>
          </w:p>
        </w:tc>
        <w:tc>
          <w:tcPr>
            <w:tcW w:w="678" w:type="pct"/>
            <w:tcBorders>
              <w:left w:val="nil"/>
              <w:right w:val="nil"/>
            </w:tcBorders>
            <w:shd w:val="clear" w:color="auto" w:fill="auto"/>
            <w:vAlign w:val="center"/>
          </w:tcPr>
          <w:p w14:paraId="379C8531" w14:textId="77777777" w:rsidR="002B7E06" w:rsidRPr="005A515B" w:rsidRDefault="002B7E06" w:rsidP="00B4198E">
            <w:pPr>
              <w:keepNext/>
              <w:spacing w:before="40" w:after="40"/>
              <w:contextualSpacing w:val="0"/>
              <w:jc w:val="center"/>
              <w:rPr>
                <w:rFonts w:ascii="Arial Narrow" w:hAnsi="Arial Narrow"/>
                <w:sz w:val="20"/>
              </w:rPr>
            </w:pPr>
            <w:r>
              <w:rPr>
                <w:rFonts w:ascii="Arial Narrow" w:hAnsi="Arial Narrow"/>
                <w:sz w:val="20"/>
              </w:rPr>
              <w:t>154.00</w:t>
            </w:r>
          </w:p>
        </w:tc>
        <w:tc>
          <w:tcPr>
            <w:tcW w:w="679" w:type="pct"/>
            <w:tcBorders>
              <w:left w:val="nil"/>
              <w:right w:val="nil"/>
            </w:tcBorders>
            <w:shd w:val="clear" w:color="auto" w:fill="auto"/>
            <w:vAlign w:val="center"/>
          </w:tcPr>
          <w:p w14:paraId="0AAE833E" w14:textId="77777777" w:rsidR="002B7E06" w:rsidRPr="005A515B" w:rsidRDefault="002B7E06" w:rsidP="00B4198E">
            <w:pPr>
              <w:keepNext/>
              <w:spacing w:before="40" w:after="40"/>
              <w:contextualSpacing w:val="0"/>
              <w:jc w:val="center"/>
              <w:rPr>
                <w:rFonts w:ascii="Arial Narrow" w:hAnsi="Arial Narrow"/>
                <w:sz w:val="20"/>
              </w:rPr>
            </w:pPr>
            <w:r>
              <w:rPr>
                <w:rFonts w:ascii="Arial Narrow" w:hAnsi="Arial Narrow"/>
                <w:sz w:val="20"/>
              </w:rPr>
              <w:t>176.00</w:t>
            </w:r>
          </w:p>
        </w:tc>
        <w:tc>
          <w:tcPr>
            <w:tcW w:w="678" w:type="pct"/>
            <w:tcBorders>
              <w:left w:val="nil"/>
              <w:right w:val="nil"/>
            </w:tcBorders>
            <w:shd w:val="clear" w:color="auto" w:fill="auto"/>
            <w:vAlign w:val="center"/>
          </w:tcPr>
          <w:p w14:paraId="63ED9E37" w14:textId="77777777" w:rsidR="002B7E06" w:rsidRPr="005A515B" w:rsidRDefault="002B7E06" w:rsidP="00B4198E">
            <w:pPr>
              <w:keepNext/>
              <w:spacing w:before="40" w:after="40"/>
              <w:contextualSpacing w:val="0"/>
              <w:jc w:val="center"/>
              <w:rPr>
                <w:rFonts w:ascii="Arial Narrow" w:hAnsi="Arial Narrow"/>
                <w:sz w:val="20"/>
              </w:rPr>
            </w:pPr>
            <w:r>
              <w:rPr>
                <w:rFonts w:ascii="Arial Narrow" w:hAnsi="Arial Narrow"/>
                <w:sz w:val="20"/>
              </w:rPr>
              <w:t>198.00</w:t>
            </w:r>
          </w:p>
        </w:tc>
        <w:tc>
          <w:tcPr>
            <w:tcW w:w="789" w:type="pct"/>
            <w:tcBorders>
              <w:left w:val="nil"/>
              <w:right w:val="nil"/>
            </w:tcBorders>
            <w:shd w:val="clear" w:color="auto" w:fill="auto"/>
            <w:vAlign w:val="center"/>
          </w:tcPr>
          <w:p w14:paraId="2DDB82C4" w14:textId="77777777" w:rsidR="002B7E06" w:rsidRPr="005A515B" w:rsidRDefault="002B7E06" w:rsidP="00B4198E">
            <w:pPr>
              <w:keepNext/>
              <w:spacing w:before="40" w:after="40"/>
              <w:contextualSpacing w:val="0"/>
              <w:jc w:val="center"/>
              <w:rPr>
                <w:rFonts w:ascii="Arial Narrow" w:hAnsi="Arial Narrow"/>
                <w:sz w:val="20"/>
              </w:rPr>
            </w:pPr>
            <w:r>
              <w:rPr>
                <w:rFonts w:ascii="Arial Narrow" w:hAnsi="Arial Narrow"/>
                <w:sz w:val="20"/>
              </w:rPr>
              <w:t>220.00</w:t>
            </w:r>
          </w:p>
        </w:tc>
      </w:tr>
    </w:tbl>
    <w:p w14:paraId="056407F3" w14:textId="453D2EED" w:rsidR="00A13239" w:rsidRPr="00153B7A" w:rsidRDefault="00A13239" w:rsidP="00342CA5">
      <w:pPr>
        <w:ind w:left="567" w:hanging="567"/>
        <w:contextualSpacing w:val="0"/>
        <w:rPr>
          <w:rFonts w:ascii="Arial" w:hAnsi="Arial" w:cs="Arial"/>
          <w:sz w:val="22"/>
          <w:szCs w:val="22"/>
        </w:rPr>
      </w:pPr>
      <w:bookmarkStart w:id="131" w:name="_Toc500855047"/>
      <w:bookmarkStart w:id="132" w:name="_Toc501013897"/>
      <w:bookmarkStart w:id="133" w:name="_Toc501526396"/>
      <w:bookmarkStart w:id="134" w:name="_Toc501698643"/>
      <w:bookmarkStart w:id="135" w:name="_Toc503362793"/>
      <w:bookmarkEnd w:id="129"/>
      <w:bookmarkEnd w:id="130"/>
    </w:p>
    <w:p w14:paraId="5FAD027A" w14:textId="77777777" w:rsidR="00153B7A" w:rsidRPr="00153B7A" w:rsidRDefault="00153B7A" w:rsidP="00342CA5">
      <w:pPr>
        <w:ind w:left="567" w:hanging="567"/>
        <w:contextualSpacing w:val="0"/>
        <w:rPr>
          <w:rFonts w:ascii="Arial" w:hAnsi="Arial" w:cs="Arial"/>
          <w:sz w:val="22"/>
          <w:szCs w:val="22"/>
        </w:rPr>
      </w:pPr>
    </w:p>
    <w:p w14:paraId="1B856E16" w14:textId="437CEBF4" w:rsidR="002B7E06" w:rsidRDefault="002B7E06" w:rsidP="009D1C04">
      <w:pPr>
        <w:pStyle w:val="Heading1"/>
        <w:numPr>
          <w:ilvl w:val="0"/>
          <w:numId w:val="4"/>
        </w:numPr>
        <w:ind w:left="567" w:hanging="567"/>
      </w:pPr>
      <w:bookmarkStart w:id="136" w:name="_Toc531692803"/>
      <w:bookmarkStart w:id="137" w:name="_Toc532471901"/>
      <w:r w:rsidRPr="003249BA">
        <w:t>Further</w:t>
      </w:r>
      <w:r>
        <w:t xml:space="preserve"> Information</w:t>
      </w:r>
      <w:bookmarkEnd w:id="131"/>
      <w:bookmarkEnd w:id="132"/>
      <w:bookmarkEnd w:id="133"/>
      <w:bookmarkEnd w:id="134"/>
      <w:bookmarkEnd w:id="135"/>
      <w:bookmarkEnd w:id="136"/>
      <w:bookmarkEnd w:id="137"/>
    </w:p>
    <w:p w14:paraId="03A08F09" w14:textId="77777777" w:rsidR="009D1C04" w:rsidRPr="009D1C04" w:rsidRDefault="009D1C04" w:rsidP="009D1C04">
      <w:pPr>
        <w:rPr>
          <w:rFonts w:ascii="Arial" w:hAnsi="Arial" w:cs="Arial"/>
        </w:rPr>
      </w:pPr>
    </w:p>
    <w:p w14:paraId="68DD0B7F" w14:textId="77777777" w:rsidR="002B7E06" w:rsidRPr="00D57F9F" w:rsidRDefault="002B7E06" w:rsidP="00F1422F">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Should you require further information, please see:</w:t>
      </w:r>
    </w:p>
    <w:p w14:paraId="030EE83F" w14:textId="77777777" w:rsidR="002B7E06" w:rsidRPr="00B80E5A" w:rsidRDefault="002B7E06" w:rsidP="002B7E06">
      <w:pPr>
        <w:rPr>
          <w:rFonts w:ascii="Arial" w:hAnsi="Arial" w:cs="Arial"/>
        </w:rPr>
      </w:pPr>
    </w:p>
    <w:p w14:paraId="6DF07BF2" w14:textId="77777777" w:rsidR="002B7E06" w:rsidRPr="005741F5" w:rsidRDefault="002B7E06" w:rsidP="002B7E06">
      <w:pPr>
        <w:rPr>
          <w:rFonts w:ascii="Arial" w:hAnsi="Arial" w:cs="Arial"/>
          <w:i/>
          <w:sz w:val="22"/>
          <w:szCs w:val="22"/>
        </w:rPr>
      </w:pPr>
      <w:r w:rsidRPr="005741F5">
        <w:rPr>
          <w:rFonts w:ascii="Arial" w:hAnsi="Arial" w:cs="Arial"/>
          <w:i/>
          <w:sz w:val="22"/>
          <w:szCs w:val="22"/>
        </w:rPr>
        <w:t>Fisheries Act (1996):</w:t>
      </w:r>
    </w:p>
    <w:p w14:paraId="43D4ADEE" w14:textId="77777777" w:rsidR="00B80E5A" w:rsidRPr="005741F5" w:rsidRDefault="00B80E5A" w:rsidP="002B7E06">
      <w:pPr>
        <w:rPr>
          <w:rFonts w:ascii="Arial" w:hAnsi="Arial" w:cs="Arial"/>
          <w:i/>
          <w:sz w:val="22"/>
          <w:szCs w:val="22"/>
        </w:rPr>
      </w:pPr>
    </w:p>
    <w:p w14:paraId="3DCFE28F" w14:textId="77777777" w:rsidR="002B7E06" w:rsidRPr="005741F5" w:rsidRDefault="00233783" w:rsidP="002B7E06">
      <w:pPr>
        <w:rPr>
          <w:rFonts w:ascii="Arial" w:hAnsi="Arial" w:cs="Arial"/>
          <w:sz w:val="22"/>
          <w:szCs w:val="22"/>
        </w:rPr>
      </w:pPr>
      <w:hyperlink r:id="rId37" w:history="1">
        <w:r w:rsidR="002B7E06" w:rsidRPr="005741F5">
          <w:rPr>
            <w:rStyle w:val="Hyperlink"/>
            <w:rFonts w:ascii="Arial" w:eastAsiaTheme="majorEastAsia" w:hAnsi="Arial" w:cs="Arial"/>
            <w:sz w:val="22"/>
            <w:szCs w:val="22"/>
          </w:rPr>
          <w:t>http://www.legislation.govt.nz/act/public/1996/0088/latest/DLM394192.html</w:t>
        </w:r>
      </w:hyperlink>
    </w:p>
    <w:p w14:paraId="6B336B3A" w14:textId="77777777" w:rsidR="002B7E06" w:rsidRPr="005741F5" w:rsidRDefault="002B7E06" w:rsidP="002B7E06">
      <w:pPr>
        <w:rPr>
          <w:rFonts w:ascii="Arial" w:hAnsi="Arial" w:cs="Arial"/>
          <w:sz w:val="22"/>
          <w:szCs w:val="22"/>
        </w:rPr>
      </w:pPr>
    </w:p>
    <w:p w14:paraId="2EA583C3" w14:textId="77777777" w:rsidR="002B7E06" w:rsidRPr="005741F5" w:rsidRDefault="002B7E06" w:rsidP="002B7E06">
      <w:pPr>
        <w:rPr>
          <w:rFonts w:ascii="Arial" w:hAnsi="Arial" w:cs="Arial"/>
          <w:i/>
          <w:sz w:val="22"/>
          <w:szCs w:val="22"/>
        </w:rPr>
      </w:pPr>
      <w:r w:rsidRPr="005741F5">
        <w:rPr>
          <w:rFonts w:ascii="Arial" w:hAnsi="Arial" w:cs="Arial"/>
          <w:i/>
          <w:sz w:val="22"/>
          <w:szCs w:val="22"/>
        </w:rPr>
        <w:t>Operational management procedure for New Zealand rock lobster stocks:</w:t>
      </w:r>
    </w:p>
    <w:p w14:paraId="1E0E6D42" w14:textId="77777777" w:rsidR="00B80E5A" w:rsidRPr="005741F5" w:rsidRDefault="00B80E5A" w:rsidP="002B7E06">
      <w:pPr>
        <w:rPr>
          <w:rFonts w:ascii="Arial" w:hAnsi="Arial" w:cs="Arial"/>
          <w:sz w:val="22"/>
          <w:szCs w:val="22"/>
        </w:rPr>
      </w:pPr>
    </w:p>
    <w:p w14:paraId="1EBC94B4" w14:textId="2CE9D2D8" w:rsidR="002B7E06" w:rsidRPr="005741F5" w:rsidRDefault="002B7E06" w:rsidP="002B7E06">
      <w:pPr>
        <w:rPr>
          <w:rFonts w:ascii="Arial" w:hAnsi="Arial" w:cs="Arial"/>
          <w:sz w:val="22"/>
          <w:szCs w:val="22"/>
        </w:rPr>
      </w:pPr>
      <w:r w:rsidRPr="005741F5">
        <w:rPr>
          <w:rFonts w:ascii="Arial" w:hAnsi="Arial" w:cs="Arial"/>
          <w:sz w:val="22"/>
          <w:szCs w:val="22"/>
        </w:rPr>
        <w:t xml:space="preserve">Fisheries research report available here: </w:t>
      </w:r>
      <w:r w:rsidR="00961290" w:rsidRPr="005741F5">
        <w:rPr>
          <w:rStyle w:val="Hyperlink"/>
          <w:rFonts w:ascii="Arial" w:eastAsiaTheme="majorEastAsia" w:hAnsi="Arial" w:cs="Arial"/>
          <w:sz w:val="22"/>
          <w:szCs w:val="22"/>
        </w:rPr>
        <w:t>https://www.mpi.govt.nz/dmsdocument/29627/send</w:t>
      </w:r>
      <w:r w:rsidRPr="005741F5">
        <w:rPr>
          <w:rFonts w:ascii="Arial" w:hAnsi="Arial" w:cs="Arial"/>
          <w:sz w:val="22"/>
          <w:szCs w:val="22"/>
        </w:rPr>
        <w:t xml:space="preserve"> [12MB].</w:t>
      </w:r>
    </w:p>
    <w:p w14:paraId="43A16E18" w14:textId="77777777" w:rsidR="002B7E06" w:rsidRPr="005741F5" w:rsidRDefault="002B7E06" w:rsidP="002B7E06">
      <w:pPr>
        <w:rPr>
          <w:rFonts w:ascii="Arial" w:hAnsi="Arial" w:cs="Arial"/>
          <w:sz w:val="22"/>
          <w:szCs w:val="22"/>
        </w:rPr>
      </w:pPr>
      <w:bookmarkStart w:id="138" w:name="_Toc469576731"/>
      <w:bookmarkStart w:id="139" w:name="_Toc500855022"/>
    </w:p>
    <w:p w14:paraId="23096B1C" w14:textId="77777777" w:rsidR="002B7E06" w:rsidRPr="005741F5" w:rsidRDefault="002B7E06" w:rsidP="002B7E06">
      <w:pPr>
        <w:keepNext/>
        <w:rPr>
          <w:rFonts w:ascii="Arial" w:hAnsi="Arial" w:cs="Arial"/>
          <w:i/>
          <w:sz w:val="22"/>
          <w:szCs w:val="22"/>
        </w:rPr>
      </w:pPr>
      <w:r w:rsidRPr="005741F5">
        <w:rPr>
          <w:rFonts w:ascii="Arial" w:hAnsi="Arial" w:cs="Arial"/>
          <w:i/>
          <w:sz w:val="22"/>
          <w:szCs w:val="22"/>
        </w:rPr>
        <w:t>November 2017 Fisheries Assessment Plenary Report</w:t>
      </w:r>
      <w:bookmarkEnd w:id="138"/>
      <w:bookmarkEnd w:id="139"/>
      <w:r w:rsidRPr="005741F5">
        <w:rPr>
          <w:rFonts w:ascii="Arial" w:hAnsi="Arial" w:cs="Arial"/>
          <w:i/>
          <w:sz w:val="22"/>
          <w:szCs w:val="22"/>
        </w:rPr>
        <w:t>:</w:t>
      </w:r>
    </w:p>
    <w:p w14:paraId="2702577A" w14:textId="77777777" w:rsidR="00B80E5A" w:rsidRPr="005741F5" w:rsidRDefault="00B80E5A" w:rsidP="002B7E06">
      <w:pPr>
        <w:keepNext/>
        <w:rPr>
          <w:rFonts w:ascii="Arial" w:hAnsi="Arial" w:cs="Arial"/>
          <w:i/>
          <w:sz w:val="22"/>
          <w:szCs w:val="22"/>
        </w:rPr>
      </w:pPr>
    </w:p>
    <w:p w14:paraId="3B5EC339" w14:textId="77777777" w:rsidR="002B7E06" w:rsidRPr="005741F5" w:rsidRDefault="002B7E06" w:rsidP="002B7E06">
      <w:pPr>
        <w:keepNext/>
        <w:rPr>
          <w:rFonts w:ascii="Arial" w:hAnsi="Arial" w:cs="Arial"/>
          <w:sz w:val="22"/>
          <w:szCs w:val="22"/>
        </w:rPr>
      </w:pPr>
      <w:r w:rsidRPr="005741F5">
        <w:rPr>
          <w:rFonts w:ascii="Arial" w:hAnsi="Arial" w:cs="Arial"/>
          <w:sz w:val="22"/>
          <w:szCs w:val="22"/>
        </w:rPr>
        <w:t xml:space="preserve">For information on rock lobster biology, stock assessment and stock status refer to the November 2017 Fisheries Assessment Plenary report. </w:t>
      </w:r>
    </w:p>
    <w:p w14:paraId="3D74486F" w14:textId="77777777" w:rsidR="002B7E06" w:rsidRPr="005741F5" w:rsidRDefault="00233783" w:rsidP="002B7E06">
      <w:pPr>
        <w:keepNext/>
        <w:rPr>
          <w:rFonts w:ascii="Arial" w:hAnsi="Arial" w:cs="Arial"/>
          <w:sz w:val="22"/>
          <w:szCs w:val="22"/>
        </w:rPr>
      </w:pPr>
      <w:hyperlink r:id="rId38" w:history="1">
        <w:r w:rsidR="002B7E06" w:rsidRPr="005741F5">
          <w:rPr>
            <w:rStyle w:val="Hyperlink"/>
            <w:rFonts w:ascii="Arial" w:eastAsiaTheme="majorEastAsia" w:hAnsi="Arial" w:cs="Arial"/>
            <w:sz w:val="22"/>
            <w:szCs w:val="22"/>
          </w:rPr>
          <w:t>http://fs.fish.govt.nz/Doc/24542/14-CRA_2017_FINAL.pdf.ashx</w:t>
        </w:r>
      </w:hyperlink>
      <w:r w:rsidR="002B7E06" w:rsidRPr="005741F5">
        <w:rPr>
          <w:rFonts w:ascii="Arial" w:hAnsi="Arial" w:cs="Arial"/>
          <w:sz w:val="22"/>
          <w:szCs w:val="22"/>
        </w:rPr>
        <w:t xml:space="preserve"> [2.6MB].</w:t>
      </w:r>
    </w:p>
    <w:p w14:paraId="5BBEF376" w14:textId="77777777" w:rsidR="002B7E06" w:rsidRPr="005741F5" w:rsidRDefault="002B7E06" w:rsidP="002B7E06">
      <w:pPr>
        <w:rPr>
          <w:rFonts w:ascii="Arial" w:hAnsi="Arial" w:cs="Arial"/>
          <w:sz w:val="22"/>
          <w:szCs w:val="22"/>
        </w:rPr>
      </w:pPr>
    </w:p>
    <w:p w14:paraId="37BB2967" w14:textId="77777777" w:rsidR="002C54A7" w:rsidRDefault="002C54A7">
      <w:pPr>
        <w:spacing w:after="160" w:line="259" w:lineRule="auto"/>
        <w:contextualSpacing w:val="0"/>
        <w:rPr>
          <w:rFonts w:ascii="Arial" w:hAnsi="Arial" w:cs="Arial"/>
          <w:i/>
          <w:sz w:val="22"/>
          <w:szCs w:val="22"/>
        </w:rPr>
      </w:pPr>
      <w:r>
        <w:rPr>
          <w:rFonts w:ascii="Arial" w:hAnsi="Arial" w:cs="Arial"/>
          <w:i/>
          <w:sz w:val="22"/>
          <w:szCs w:val="22"/>
        </w:rPr>
        <w:br w:type="page"/>
      </w:r>
    </w:p>
    <w:p w14:paraId="478ED986" w14:textId="082CBF7F" w:rsidR="002B7E06" w:rsidRPr="005741F5" w:rsidRDefault="002B7E06" w:rsidP="002B7E06">
      <w:pPr>
        <w:rPr>
          <w:rFonts w:ascii="Arial" w:hAnsi="Arial" w:cs="Arial"/>
          <w:i/>
          <w:sz w:val="22"/>
          <w:szCs w:val="22"/>
        </w:rPr>
      </w:pPr>
      <w:r w:rsidRPr="005741F5">
        <w:rPr>
          <w:rFonts w:ascii="Arial" w:hAnsi="Arial" w:cs="Arial"/>
          <w:i/>
          <w:sz w:val="22"/>
          <w:szCs w:val="22"/>
        </w:rPr>
        <w:lastRenderedPageBreak/>
        <w:t>Harvest Strategy Standard:</w:t>
      </w:r>
    </w:p>
    <w:p w14:paraId="0776E673" w14:textId="77777777" w:rsidR="00B80E5A" w:rsidRPr="005741F5" w:rsidRDefault="00B80E5A" w:rsidP="002B7E06">
      <w:pPr>
        <w:rPr>
          <w:rFonts w:ascii="Arial" w:hAnsi="Arial" w:cs="Arial"/>
          <w:i/>
          <w:sz w:val="22"/>
          <w:szCs w:val="22"/>
        </w:rPr>
      </w:pPr>
    </w:p>
    <w:p w14:paraId="4E3BB37C" w14:textId="77777777" w:rsidR="002B7E06" w:rsidRPr="005741F5" w:rsidRDefault="002B7E06" w:rsidP="002B7E06">
      <w:pPr>
        <w:rPr>
          <w:rFonts w:ascii="Arial" w:hAnsi="Arial" w:cs="Arial"/>
          <w:sz w:val="22"/>
          <w:szCs w:val="22"/>
        </w:rPr>
      </w:pPr>
      <w:r w:rsidRPr="005741F5">
        <w:rPr>
          <w:rFonts w:ascii="Arial" w:hAnsi="Arial" w:cs="Arial"/>
          <w:sz w:val="22"/>
          <w:szCs w:val="22"/>
        </w:rPr>
        <w:t>Harvest Strategy Standard for New Zealand Fisheries. (2008). Compiled by the Ministry of Fisheries, Wellington, New Zealand, 27 p.</w:t>
      </w:r>
    </w:p>
    <w:p w14:paraId="636172AA" w14:textId="77777777" w:rsidR="002B7E06" w:rsidRPr="005741F5" w:rsidRDefault="002B7E06" w:rsidP="002B7E06">
      <w:pPr>
        <w:rPr>
          <w:rFonts w:ascii="Arial" w:hAnsi="Arial" w:cs="Arial"/>
          <w:sz w:val="22"/>
          <w:szCs w:val="22"/>
        </w:rPr>
      </w:pPr>
      <w:r w:rsidRPr="005741F5">
        <w:rPr>
          <w:rFonts w:ascii="Arial" w:hAnsi="Arial" w:cs="Arial"/>
          <w:sz w:val="22"/>
          <w:szCs w:val="22"/>
        </w:rPr>
        <w:t>(</w:t>
      </w:r>
      <w:hyperlink r:id="rId39" w:history="1">
        <w:r w:rsidRPr="005741F5">
          <w:rPr>
            <w:rStyle w:val="Hyperlink"/>
            <w:rFonts w:ascii="Arial" w:eastAsiaTheme="majorEastAsia" w:hAnsi="Arial" w:cs="Arial"/>
            <w:sz w:val="22"/>
            <w:szCs w:val="22"/>
          </w:rPr>
          <w:t>http://fs.fish.govt.nz/Page.aspx?pk=104</w:t>
        </w:r>
      </w:hyperlink>
      <w:r w:rsidRPr="005741F5">
        <w:rPr>
          <w:rFonts w:ascii="Arial" w:hAnsi="Arial" w:cs="Arial"/>
          <w:sz w:val="22"/>
          <w:szCs w:val="22"/>
        </w:rPr>
        <w:t xml:space="preserve">) </w:t>
      </w:r>
    </w:p>
    <w:p w14:paraId="2C78BCB3" w14:textId="77777777" w:rsidR="002B7E06" w:rsidRPr="005741F5" w:rsidRDefault="002B7E06" w:rsidP="002B7E06">
      <w:pPr>
        <w:rPr>
          <w:rFonts w:ascii="Arial" w:hAnsi="Arial" w:cs="Arial"/>
          <w:sz w:val="22"/>
          <w:szCs w:val="22"/>
        </w:rPr>
      </w:pPr>
    </w:p>
    <w:p w14:paraId="2EEBE9CF" w14:textId="77777777" w:rsidR="002B7E06" w:rsidRPr="005741F5" w:rsidRDefault="002B7E06" w:rsidP="002B7E06">
      <w:pPr>
        <w:rPr>
          <w:rFonts w:ascii="Arial" w:hAnsi="Arial" w:cs="Arial"/>
          <w:i/>
          <w:sz w:val="22"/>
          <w:szCs w:val="22"/>
        </w:rPr>
      </w:pPr>
      <w:r w:rsidRPr="005741F5">
        <w:rPr>
          <w:rFonts w:ascii="Arial" w:hAnsi="Arial" w:cs="Arial"/>
          <w:i/>
          <w:sz w:val="22"/>
          <w:szCs w:val="22"/>
        </w:rPr>
        <w:t>Previous reviews of the stocks:</w:t>
      </w:r>
    </w:p>
    <w:p w14:paraId="21F8BAC6" w14:textId="77777777" w:rsidR="00B80E5A" w:rsidRPr="005741F5" w:rsidRDefault="00B80E5A" w:rsidP="002B7E06">
      <w:pPr>
        <w:rPr>
          <w:rFonts w:ascii="Arial" w:hAnsi="Arial" w:cs="Arial"/>
          <w:i/>
          <w:sz w:val="22"/>
          <w:szCs w:val="22"/>
        </w:rPr>
      </w:pPr>
    </w:p>
    <w:p w14:paraId="658CFA36" w14:textId="3B2C1DFE" w:rsidR="004E2757" w:rsidRPr="005741F5" w:rsidRDefault="004E2757" w:rsidP="002B7E06">
      <w:pPr>
        <w:rPr>
          <w:rFonts w:ascii="Arial" w:hAnsi="Arial" w:cs="Arial"/>
          <w:sz w:val="22"/>
          <w:szCs w:val="22"/>
        </w:rPr>
      </w:pPr>
      <w:r w:rsidRPr="005741F5">
        <w:rPr>
          <w:rFonts w:ascii="Arial" w:hAnsi="Arial" w:cs="Arial"/>
          <w:sz w:val="22"/>
          <w:szCs w:val="22"/>
        </w:rPr>
        <w:t>CRA 2, 4, 7 and 8 Sustainability Round Review April 2018:</w:t>
      </w:r>
    </w:p>
    <w:p w14:paraId="0C01C696" w14:textId="57756E99" w:rsidR="004E2757" w:rsidRPr="005741F5" w:rsidRDefault="00233783" w:rsidP="002B7E06">
      <w:pPr>
        <w:rPr>
          <w:rFonts w:ascii="Arial" w:hAnsi="Arial" w:cs="Arial"/>
          <w:sz w:val="22"/>
          <w:szCs w:val="22"/>
        </w:rPr>
      </w:pPr>
      <w:hyperlink r:id="rId40" w:history="1">
        <w:r w:rsidR="004E2757" w:rsidRPr="005741F5">
          <w:rPr>
            <w:rStyle w:val="Hyperlink"/>
            <w:rFonts w:ascii="Arial" w:hAnsi="Arial" w:cs="Arial"/>
            <w:sz w:val="22"/>
            <w:szCs w:val="22"/>
          </w:rPr>
          <w:t>https://www.mpi.govt.nz/dmsdocument/27966-review-of-rock-lobster-sustainability-measures-1-april-2018</w:t>
        </w:r>
      </w:hyperlink>
      <w:r w:rsidR="004E2757" w:rsidRPr="005741F5">
        <w:rPr>
          <w:rFonts w:ascii="Arial" w:hAnsi="Arial" w:cs="Arial"/>
          <w:sz w:val="22"/>
          <w:szCs w:val="22"/>
        </w:rPr>
        <w:t xml:space="preserve"> </w:t>
      </w:r>
    </w:p>
    <w:p w14:paraId="1C8EA322" w14:textId="77777777" w:rsidR="004E2757" w:rsidRPr="005741F5" w:rsidRDefault="004E2757" w:rsidP="002B7E06">
      <w:pPr>
        <w:rPr>
          <w:rFonts w:ascii="Arial" w:hAnsi="Arial" w:cs="Arial"/>
          <w:sz w:val="22"/>
          <w:szCs w:val="22"/>
        </w:rPr>
      </w:pPr>
    </w:p>
    <w:p w14:paraId="2B756851" w14:textId="77777777" w:rsidR="002B7E06" w:rsidRPr="005741F5" w:rsidRDefault="002B7E06" w:rsidP="002B7E06">
      <w:pPr>
        <w:rPr>
          <w:rFonts w:ascii="Arial" w:hAnsi="Arial" w:cs="Arial"/>
          <w:sz w:val="22"/>
          <w:szCs w:val="22"/>
        </w:rPr>
      </w:pPr>
      <w:r w:rsidRPr="005741F5">
        <w:rPr>
          <w:rFonts w:ascii="Arial" w:hAnsi="Arial" w:cs="Arial"/>
          <w:sz w:val="22"/>
          <w:szCs w:val="22"/>
        </w:rPr>
        <w:t xml:space="preserve">CRA 3, 4 and 7 Sustainability Round Review April 2017: </w:t>
      </w:r>
      <w:hyperlink r:id="rId41" w:history="1">
        <w:r w:rsidRPr="005741F5">
          <w:rPr>
            <w:rStyle w:val="Hyperlink"/>
            <w:rFonts w:ascii="Arial" w:eastAsiaTheme="majorEastAsia" w:hAnsi="Arial" w:cs="Arial"/>
            <w:sz w:val="22"/>
            <w:szCs w:val="22"/>
          </w:rPr>
          <w:t>https://www.mpi.govt.nz/dmsdocument/16879-review-of-rock-lobster-sustainability-measures-for-1-april-2017-final-advice-paper</w:t>
        </w:r>
      </w:hyperlink>
    </w:p>
    <w:p w14:paraId="522FB528" w14:textId="77777777" w:rsidR="002B7E06" w:rsidRPr="005741F5" w:rsidRDefault="002B7E06" w:rsidP="002B7E06">
      <w:pPr>
        <w:rPr>
          <w:rFonts w:ascii="Arial" w:hAnsi="Arial" w:cs="Arial"/>
          <w:sz w:val="22"/>
          <w:szCs w:val="22"/>
        </w:rPr>
      </w:pPr>
    </w:p>
    <w:p w14:paraId="0B458F2F" w14:textId="77777777" w:rsidR="002B7E06" w:rsidRPr="005741F5" w:rsidRDefault="002B7E06" w:rsidP="002B7E06">
      <w:pPr>
        <w:rPr>
          <w:rFonts w:ascii="Arial" w:hAnsi="Arial" w:cs="Arial"/>
          <w:sz w:val="22"/>
          <w:szCs w:val="22"/>
        </w:rPr>
      </w:pPr>
      <w:r w:rsidRPr="005741F5">
        <w:rPr>
          <w:rFonts w:ascii="Arial" w:hAnsi="Arial" w:cs="Arial"/>
          <w:sz w:val="22"/>
          <w:szCs w:val="22"/>
        </w:rPr>
        <w:t xml:space="preserve">CRA 4 and 8 Sustainability Round Review April 2016: </w:t>
      </w:r>
      <w:hyperlink r:id="rId42" w:history="1">
        <w:r w:rsidRPr="005741F5">
          <w:rPr>
            <w:rStyle w:val="Hyperlink"/>
            <w:rFonts w:ascii="Arial" w:eastAsiaTheme="majorEastAsia" w:hAnsi="Arial" w:cs="Arial"/>
            <w:sz w:val="22"/>
            <w:szCs w:val="22"/>
          </w:rPr>
          <w:t>https://www.mpi.govt.nz/dmsdocument/11611-review-of-rock-lobster-sustainability-measures-for-1-april-2016</w:t>
        </w:r>
      </w:hyperlink>
    </w:p>
    <w:p w14:paraId="0692B4C7" w14:textId="77777777" w:rsidR="002B7E06" w:rsidRPr="005741F5" w:rsidRDefault="002B7E06" w:rsidP="002B7E06">
      <w:pPr>
        <w:rPr>
          <w:rFonts w:ascii="Arial" w:hAnsi="Arial" w:cs="Arial"/>
          <w:sz w:val="22"/>
          <w:szCs w:val="22"/>
        </w:rPr>
      </w:pPr>
    </w:p>
    <w:p w14:paraId="452DDA55" w14:textId="77777777" w:rsidR="002B7E06" w:rsidRPr="005741F5" w:rsidRDefault="002B7E06" w:rsidP="002B7E06">
      <w:pPr>
        <w:rPr>
          <w:rFonts w:ascii="Arial" w:hAnsi="Arial" w:cs="Arial"/>
          <w:sz w:val="22"/>
          <w:szCs w:val="22"/>
        </w:rPr>
      </w:pPr>
      <w:r w:rsidRPr="005741F5">
        <w:rPr>
          <w:rFonts w:ascii="Arial" w:hAnsi="Arial" w:cs="Arial"/>
          <w:sz w:val="22"/>
          <w:szCs w:val="22"/>
        </w:rPr>
        <w:t xml:space="preserve">CRA 7 Sustainability Round Review April 2015: </w:t>
      </w:r>
    </w:p>
    <w:p w14:paraId="0B1DD6E2" w14:textId="77777777" w:rsidR="002B7E06" w:rsidRPr="005741F5" w:rsidRDefault="00233783" w:rsidP="002B7E06">
      <w:pPr>
        <w:rPr>
          <w:rStyle w:val="Hyperlink"/>
          <w:rFonts w:ascii="Arial" w:eastAsiaTheme="majorEastAsia" w:hAnsi="Arial" w:cs="Arial"/>
          <w:sz w:val="22"/>
          <w:szCs w:val="22"/>
        </w:rPr>
      </w:pPr>
      <w:hyperlink r:id="rId43" w:history="1">
        <w:r w:rsidR="002B7E06" w:rsidRPr="005741F5">
          <w:rPr>
            <w:rStyle w:val="Hyperlink"/>
            <w:rFonts w:ascii="Arial" w:eastAsiaTheme="majorEastAsia" w:hAnsi="Arial" w:cs="Arial"/>
            <w:sz w:val="22"/>
            <w:szCs w:val="22"/>
          </w:rPr>
          <w:t>https://www.mpi.govt.nz/document-vault/6415</w:t>
        </w:r>
      </w:hyperlink>
    </w:p>
    <w:p w14:paraId="12C95413" w14:textId="77777777" w:rsidR="002B7E06" w:rsidRPr="005741F5" w:rsidRDefault="002B7E06" w:rsidP="002B7E06">
      <w:pPr>
        <w:rPr>
          <w:rFonts w:ascii="Arial" w:hAnsi="Arial" w:cs="Arial"/>
          <w:sz w:val="22"/>
          <w:szCs w:val="22"/>
        </w:rPr>
      </w:pPr>
    </w:p>
    <w:p w14:paraId="0D4568F1" w14:textId="2AE91400" w:rsidR="00D979B1" w:rsidRPr="005741F5" w:rsidRDefault="002B7E06" w:rsidP="005741F5">
      <w:pPr>
        <w:rPr>
          <w:rFonts w:ascii="Arial" w:hAnsi="Arial" w:cs="Arial"/>
          <w:sz w:val="22"/>
          <w:szCs w:val="22"/>
        </w:rPr>
      </w:pPr>
      <w:r w:rsidRPr="005741F5">
        <w:rPr>
          <w:rFonts w:ascii="Arial" w:hAnsi="Arial" w:cs="Arial"/>
          <w:sz w:val="22"/>
          <w:szCs w:val="22"/>
        </w:rPr>
        <w:t xml:space="preserve">CRA 2, 4 and 7 Sustainability Round Review April 2014: </w:t>
      </w:r>
      <w:hyperlink r:id="rId44" w:history="1">
        <w:r w:rsidRPr="005741F5">
          <w:rPr>
            <w:rStyle w:val="Hyperlink"/>
            <w:rFonts w:ascii="Arial" w:eastAsiaTheme="majorEastAsia" w:hAnsi="Arial" w:cs="Arial"/>
            <w:sz w:val="22"/>
            <w:szCs w:val="22"/>
          </w:rPr>
          <w:t>https://www.mpi.govt.nz/dmsdocument/3993-review-of-rock-lobster-sustainability-measures-final-advice-paper</w:t>
        </w:r>
      </w:hyperlink>
      <w:r w:rsidR="00D979B1">
        <w:br w:type="page"/>
      </w:r>
    </w:p>
    <w:p w14:paraId="43F88245" w14:textId="433BEB5F" w:rsidR="00D979B1" w:rsidRPr="00F32A3A" w:rsidRDefault="00D979B1" w:rsidP="005741F5">
      <w:pPr>
        <w:pStyle w:val="Heading1"/>
        <w:numPr>
          <w:ilvl w:val="0"/>
          <w:numId w:val="0"/>
        </w:numPr>
        <w:spacing w:after="120"/>
        <w:rPr>
          <w:noProof/>
          <w:lang w:eastAsia="en-NZ"/>
        </w:rPr>
      </w:pPr>
      <w:bookmarkStart w:id="140" w:name="_Toc531692804"/>
      <w:bookmarkStart w:id="141" w:name="_Toc532471902"/>
      <w:r>
        <w:rPr>
          <w:noProof/>
          <w:lang w:eastAsia="en-NZ"/>
        </w:rPr>
        <w:lastRenderedPageBreak/>
        <w:t>Appendix 1: Statutory Considerations</w:t>
      </w:r>
      <w:bookmarkEnd w:id="140"/>
      <w:bookmarkEnd w:id="141"/>
    </w:p>
    <w:p w14:paraId="6CC16371" w14:textId="77777777" w:rsidR="00D979B1" w:rsidRDefault="00D979B1">
      <w:pPr>
        <w:pStyle w:val="ListParagraph"/>
        <w:spacing w:after="0" w:line="240" w:lineRule="auto"/>
        <w:ind w:left="567"/>
        <w:jc w:val="left"/>
        <w:rPr>
          <w:rFonts w:ascii="Arial" w:hAnsi="Arial" w:cs="Arial"/>
          <w:szCs w:val="20"/>
        </w:rPr>
      </w:pPr>
    </w:p>
    <w:p w14:paraId="2FAA5CE5" w14:textId="77777777" w:rsidR="00D979B1" w:rsidRPr="009D1C04" w:rsidRDefault="00D979B1" w:rsidP="009D1C04">
      <w:pPr>
        <w:pStyle w:val="ListParagraph"/>
        <w:numPr>
          <w:ilvl w:val="0"/>
          <w:numId w:val="26"/>
        </w:numPr>
        <w:spacing w:after="0" w:line="240" w:lineRule="auto"/>
        <w:ind w:left="567" w:hanging="567"/>
        <w:jc w:val="left"/>
        <w:rPr>
          <w:rFonts w:ascii="Arial" w:hAnsi="Arial" w:cs="Arial"/>
          <w:szCs w:val="24"/>
        </w:rPr>
      </w:pPr>
      <w:r w:rsidRPr="009D1C04">
        <w:rPr>
          <w:rFonts w:ascii="Arial" w:hAnsi="Arial" w:cs="Arial"/>
          <w:szCs w:val="24"/>
        </w:rPr>
        <w:t xml:space="preserve">This section provides an overview of the Minister of Fisheries (the Minister’s) legal obligations under the Fisheries Act 1996 (the Act) when setting or varying Total Allowable Catches (TACs) and Total Allowable Commercial Catches (TACCs) for New Zealand fishstocks. </w:t>
      </w:r>
    </w:p>
    <w:p w14:paraId="35BA9023" w14:textId="77777777" w:rsidR="00D979B1" w:rsidRPr="009D1C04" w:rsidRDefault="00D979B1" w:rsidP="009D1C04">
      <w:pPr>
        <w:pStyle w:val="ListParagraph"/>
        <w:spacing w:after="0" w:line="240" w:lineRule="auto"/>
        <w:ind w:left="567"/>
        <w:jc w:val="left"/>
        <w:rPr>
          <w:rFonts w:ascii="Arial" w:hAnsi="Arial" w:cs="Arial"/>
          <w:szCs w:val="24"/>
        </w:rPr>
      </w:pPr>
    </w:p>
    <w:p w14:paraId="51386B7A" w14:textId="77777777" w:rsidR="00D979B1" w:rsidRPr="009D1C04" w:rsidRDefault="00D979B1" w:rsidP="009D1C04">
      <w:pPr>
        <w:pStyle w:val="ListParagraph"/>
        <w:numPr>
          <w:ilvl w:val="0"/>
          <w:numId w:val="26"/>
        </w:numPr>
        <w:spacing w:after="0" w:line="240" w:lineRule="auto"/>
        <w:ind w:left="567" w:hanging="567"/>
        <w:jc w:val="left"/>
        <w:rPr>
          <w:rFonts w:ascii="Arial" w:hAnsi="Arial" w:cs="Arial"/>
          <w:szCs w:val="24"/>
        </w:rPr>
      </w:pPr>
      <w:r w:rsidRPr="009D1C04">
        <w:rPr>
          <w:rFonts w:ascii="Arial" w:hAnsi="Arial" w:cs="Arial"/>
          <w:szCs w:val="24"/>
        </w:rPr>
        <w:t xml:space="preserve">Where relevant, stock-specific details relating to these obligations are set out in the section of the discussion paper relating to each stock. </w:t>
      </w:r>
    </w:p>
    <w:p w14:paraId="7C7FFC36" w14:textId="77777777" w:rsidR="00D979B1" w:rsidRPr="003E063E" w:rsidRDefault="00D979B1" w:rsidP="00D979B1">
      <w:pPr>
        <w:pStyle w:val="ListParagraph"/>
        <w:spacing w:after="0" w:line="240" w:lineRule="auto"/>
        <w:ind w:left="0"/>
        <w:contextualSpacing w:val="0"/>
        <w:rPr>
          <w:rFonts w:ascii="Arial" w:hAnsi="Arial" w:cs="Arial"/>
        </w:rPr>
      </w:pPr>
    </w:p>
    <w:p w14:paraId="54FB9C1A" w14:textId="77777777" w:rsidR="00D979B1" w:rsidRPr="008D356D" w:rsidRDefault="00D979B1" w:rsidP="009D1C04">
      <w:pPr>
        <w:pStyle w:val="Heading2"/>
        <w:numPr>
          <w:ilvl w:val="0"/>
          <w:numId w:val="0"/>
        </w:numPr>
        <w:ind w:left="576" w:hanging="576"/>
      </w:pPr>
      <w:bookmarkStart w:id="142" w:name="_Toc531692805"/>
      <w:bookmarkStart w:id="143" w:name="_Toc532471903"/>
      <w:r>
        <w:t>Section 5(a) – International Obligations</w:t>
      </w:r>
      <w:bookmarkEnd w:id="142"/>
      <w:bookmarkEnd w:id="143"/>
      <w:r>
        <w:t xml:space="preserve"> </w:t>
      </w:r>
    </w:p>
    <w:p w14:paraId="53A06E48" w14:textId="77777777" w:rsidR="00D979B1" w:rsidRPr="009D1C04" w:rsidRDefault="00D979B1" w:rsidP="009D1C04">
      <w:pPr>
        <w:pStyle w:val="ListParagraph"/>
        <w:numPr>
          <w:ilvl w:val="0"/>
          <w:numId w:val="26"/>
        </w:numPr>
        <w:spacing w:after="0" w:line="240" w:lineRule="auto"/>
        <w:ind w:left="567" w:hanging="567"/>
        <w:jc w:val="left"/>
        <w:rPr>
          <w:rFonts w:ascii="Arial" w:hAnsi="Arial" w:cs="Arial"/>
          <w:szCs w:val="24"/>
        </w:rPr>
      </w:pPr>
      <w:r w:rsidRPr="009D1C04">
        <w:rPr>
          <w:rFonts w:ascii="Arial" w:hAnsi="Arial" w:cs="Arial"/>
          <w:szCs w:val="24"/>
        </w:rPr>
        <w:t xml:space="preserve">Section 5(a) says the Act is to be interpreted, and all persons exercising or performing functions, duties, or powers under it are required to act, in a manner consistent with New Zealand’s international obligations relating to fishing. As a general principle, where there is a choice in the interpretation of the Act or the exercise of discretion, the decision maker must choose the option that is consistent with New Zealand’s international obligations relating to fishing. </w:t>
      </w:r>
    </w:p>
    <w:p w14:paraId="4CB39C05" w14:textId="77777777" w:rsidR="00D979B1" w:rsidRPr="009D1C04" w:rsidRDefault="00D979B1" w:rsidP="009D1C04">
      <w:pPr>
        <w:pStyle w:val="ListParagraph"/>
        <w:spacing w:after="0" w:line="240" w:lineRule="auto"/>
        <w:ind w:left="567"/>
        <w:jc w:val="left"/>
        <w:rPr>
          <w:rFonts w:ascii="Arial" w:hAnsi="Arial" w:cs="Arial"/>
          <w:szCs w:val="24"/>
        </w:rPr>
      </w:pPr>
    </w:p>
    <w:p w14:paraId="217539D2" w14:textId="77777777" w:rsidR="00D979B1" w:rsidRPr="009D1C04" w:rsidRDefault="00D979B1" w:rsidP="009D1C04">
      <w:pPr>
        <w:pStyle w:val="ListParagraph"/>
        <w:numPr>
          <w:ilvl w:val="0"/>
          <w:numId w:val="26"/>
        </w:numPr>
        <w:spacing w:after="0" w:line="240" w:lineRule="auto"/>
        <w:ind w:left="567" w:hanging="567"/>
        <w:jc w:val="left"/>
        <w:rPr>
          <w:rFonts w:ascii="Arial" w:hAnsi="Arial" w:cs="Arial"/>
          <w:szCs w:val="24"/>
        </w:rPr>
      </w:pPr>
      <w:r w:rsidRPr="009D1C04">
        <w:rPr>
          <w:rFonts w:ascii="Arial" w:hAnsi="Arial" w:cs="Arial"/>
          <w:szCs w:val="24"/>
        </w:rPr>
        <w:t>The two key pieces of international law relating to fishing, and to which New Zealand is a party, are the United Nations Convention on the Law of the Sea, 1982 and the United Nations Convention on Biological Diversity 1992. International obligations also derive from New Zealand being a signatory to a number of international conventions. Of particular relevance are regional fisheries management organisations, Convention on International Trade in Endangered Species of Wild Fauna and Flora and the Convention on Migratory Species.</w:t>
      </w:r>
    </w:p>
    <w:p w14:paraId="2937E423" w14:textId="77777777" w:rsidR="00D979B1" w:rsidRDefault="00D979B1" w:rsidP="00D979B1">
      <w:pPr>
        <w:pStyle w:val="ListParagraph"/>
        <w:spacing w:after="0" w:line="240" w:lineRule="auto"/>
        <w:ind w:left="0"/>
        <w:contextualSpacing w:val="0"/>
        <w:rPr>
          <w:rFonts w:ascii="Times New Roman" w:hAnsi="Times New Roman"/>
          <w:sz w:val="24"/>
          <w:szCs w:val="24"/>
        </w:rPr>
      </w:pPr>
    </w:p>
    <w:p w14:paraId="6037EB0E" w14:textId="77777777" w:rsidR="00D979B1" w:rsidRDefault="00D979B1" w:rsidP="009D1C04">
      <w:pPr>
        <w:pStyle w:val="Heading2"/>
        <w:numPr>
          <w:ilvl w:val="0"/>
          <w:numId w:val="0"/>
        </w:numPr>
      </w:pPr>
      <w:bookmarkStart w:id="144" w:name="_Toc531692806"/>
      <w:bookmarkStart w:id="145" w:name="_Toc532471904"/>
      <w:r>
        <w:t>Section 5(b) – Treaty of Waitangi (Fisheries Claims) Settlement Act 1992</w:t>
      </w:r>
      <w:bookmarkEnd w:id="144"/>
      <w:bookmarkEnd w:id="145"/>
      <w:r>
        <w:t xml:space="preserve"> </w:t>
      </w:r>
    </w:p>
    <w:p w14:paraId="5C4157D8" w14:textId="77777777" w:rsidR="00D979B1" w:rsidRPr="009D1C04" w:rsidRDefault="00D979B1" w:rsidP="009D1C04">
      <w:pPr>
        <w:pStyle w:val="ListParagraph"/>
        <w:numPr>
          <w:ilvl w:val="0"/>
          <w:numId w:val="26"/>
        </w:numPr>
        <w:spacing w:after="0" w:line="240" w:lineRule="auto"/>
        <w:ind w:left="567" w:hanging="567"/>
        <w:jc w:val="left"/>
        <w:rPr>
          <w:rFonts w:ascii="Arial" w:hAnsi="Arial" w:cs="Arial"/>
          <w:szCs w:val="24"/>
        </w:rPr>
      </w:pPr>
      <w:r w:rsidRPr="009D1C04">
        <w:rPr>
          <w:rFonts w:ascii="Arial" w:hAnsi="Arial" w:cs="Arial"/>
          <w:szCs w:val="24"/>
        </w:rPr>
        <w:t xml:space="preserve">Section 5(b) says the Act is to be interpreted, and all persons exercising or performing functions, duties, or powers under it are required to act, in a manner consistent with the provisions of the Treaty of Waitangi (Fisheries Claims) Settlement Act 1992 (the Settlement Act). This obligation furthers the agreements expressed in the Deed of Settlement referred to in the Preamble to the Settlement Act. </w:t>
      </w:r>
    </w:p>
    <w:p w14:paraId="51D3D88D" w14:textId="77777777" w:rsidR="00D979B1" w:rsidRPr="009D1C04" w:rsidRDefault="00D979B1" w:rsidP="009D1C04">
      <w:pPr>
        <w:pStyle w:val="ListParagraph"/>
        <w:spacing w:after="0" w:line="240" w:lineRule="auto"/>
        <w:ind w:left="567"/>
        <w:jc w:val="left"/>
        <w:rPr>
          <w:rFonts w:ascii="Arial" w:hAnsi="Arial" w:cs="Arial"/>
          <w:szCs w:val="24"/>
        </w:rPr>
      </w:pPr>
    </w:p>
    <w:p w14:paraId="47278651" w14:textId="77777777" w:rsidR="00D979B1" w:rsidRPr="009D1C04" w:rsidRDefault="00D979B1" w:rsidP="009D1C04">
      <w:pPr>
        <w:pStyle w:val="ListParagraph"/>
        <w:numPr>
          <w:ilvl w:val="0"/>
          <w:numId w:val="26"/>
        </w:numPr>
        <w:spacing w:after="0" w:line="240" w:lineRule="auto"/>
        <w:ind w:left="567" w:hanging="567"/>
        <w:jc w:val="left"/>
        <w:rPr>
          <w:rFonts w:ascii="Arial" w:hAnsi="Arial" w:cs="Arial"/>
          <w:szCs w:val="24"/>
        </w:rPr>
      </w:pPr>
      <w:r w:rsidRPr="009D1C04">
        <w:rPr>
          <w:rFonts w:ascii="Arial" w:hAnsi="Arial" w:cs="Arial"/>
          <w:szCs w:val="24"/>
        </w:rPr>
        <w:t xml:space="preserve">The development of customary regulations, Iwi Fisheries Forums, and providing for the input and participation of iwi in fisheries decisions, discussed elsewhere in this paper, are some of the ways in which the obligations in the Settlement Act are given effect to. </w:t>
      </w:r>
    </w:p>
    <w:p w14:paraId="5258BD3F" w14:textId="77777777" w:rsidR="00D979B1" w:rsidRPr="0039359E" w:rsidRDefault="00D979B1" w:rsidP="00D979B1">
      <w:pPr>
        <w:pStyle w:val="ListParagraph"/>
        <w:spacing w:after="0" w:line="240" w:lineRule="auto"/>
        <w:ind w:left="0"/>
        <w:contextualSpacing w:val="0"/>
        <w:rPr>
          <w:rFonts w:ascii="Times New Roman" w:hAnsi="Times New Roman"/>
          <w:sz w:val="24"/>
          <w:szCs w:val="24"/>
        </w:rPr>
      </w:pPr>
    </w:p>
    <w:p w14:paraId="31610257" w14:textId="77777777" w:rsidR="00D979B1" w:rsidRPr="00751BB7" w:rsidRDefault="00D979B1" w:rsidP="002D7AAE">
      <w:pPr>
        <w:pStyle w:val="Heading2"/>
        <w:numPr>
          <w:ilvl w:val="0"/>
          <w:numId w:val="0"/>
        </w:numPr>
        <w:ind w:left="576" w:hanging="576"/>
      </w:pPr>
      <w:bookmarkStart w:id="146" w:name="_Toc531692807"/>
      <w:bookmarkStart w:id="147" w:name="_Toc532471905"/>
      <w:r w:rsidRPr="00751BB7">
        <w:t xml:space="preserve">Section 8 – Purpose of the </w:t>
      </w:r>
      <w:r>
        <w:t xml:space="preserve">Fisheries </w:t>
      </w:r>
      <w:r w:rsidRPr="00751BB7">
        <w:t>Act</w:t>
      </w:r>
      <w:r>
        <w:t xml:space="preserve"> 1996</w:t>
      </w:r>
      <w:bookmarkEnd w:id="146"/>
      <w:bookmarkEnd w:id="147"/>
    </w:p>
    <w:p w14:paraId="71A37F05" w14:textId="77777777" w:rsidR="00D979B1" w:rsidRPr="009D1C04" w:rsidRDefault="00D979B1" w:rsidP="009D1C04">
      <w:pPr>
        <w:pStyle w:val="ListParagraph"/>
        <w:numPr>
          <w:ilvl w:val="0"/>
          <w:numId w:val="26"/>
        </w:numPr>
        <w:spacing w:after="0" w:line="240" w:lineRule="auto"/>
        <w:ind w:left="567" w:hanging="567"/>
        <w:jc w:val="left"/>
        <w:rPr>
          <w:rFonts w:ascii="Arial" w:hAnsi="Arial" w:cs="Arial"/>
          <w:szCs w:val="24"/>
        </w:rPr>
      </w:pPr>
      <w:r w:rsidRPr="009D1C04">
        <w:rPr>
          <w:rFonts w:ascii="Arial" w:hAnsi="Arial" w:cs="Arial"/>
          <w:szCs w:val="24"/>
        </w:rPr>
        <w:t>Section 8 says the purpose of the Act is to provide for the utilisation of fisheries resources while ensuring sustainability. Each utilisation and ensuring sustainability are defined in the Act:</w:t>
      </w:r>
    </w:p>
    <w:p w14:paraId="284CE498" w14:textId="77777777" w:rsidR="00D979B1" w:rsidRPr="00426161" w:rsidRDefault="00D979B1" w:rsidP="00D979B1">
      <w:pPr>
        <w:pStyle w:val="ListParagraph"/>
        <w:spacing w:after="0" w:line="240" w:lineRule="auto"/>
        <w:ind w:left="567"/>
        <w:rPr>
          <w:rFonts w:ascii="Arial" w:hAnsi="Arial" w:cs="Arial"/>
          <w:szCs w:val="20"/>
        </w:rPr>
      </w:pPr>
    </w:p>
    <w:p w14:paraId="28EA65C6" w14:textId="77777777" w:rsidR="00D979B1" w:rsidRPr="00B4198E" w:rsidRDefault="00D979B1" w:rsidP="00B4198E">
      <w:pPr>
        <w:ind w:left="567"/>
        <w:rPr>
          <w:rFonts w:ascii="Arial" w:hAnsi="Arial" w:cs="Arial"/>
          <w:sz w:val="22"/>
          <w:szCs w:val="22"/>
        </w:rPr>
      </w:pPr>
      <w:r w:rsidRPr="00B4198E">
        <w:rPr>
          <w:rStyle w:val="HTMLDefinition"/>
          <w:rFonts w:ascii="Arial" w:hAnsi="Arial" w:cs="Arial"/>
          <w:b/>
          <w:bCs/>
          <w:color w:val="000000"/>
          <w:sz w:val="22"/>
          <w:szCs w:val="22"/>
          <w:bdr w:val="none" w:sz="0" w:space="0" w:color="auto" w:frame="1"/>
        </w:rPr>
        <w:t>Ensuring sustainability</w:t>
      </w:r>
      <w:r w:rsidRPr="00B4198E">
        <w:rPr>
          <w:rFonts w:ascii="Arial" w:hAnsi="Arial" w:cs="Arial"/>
          <w:sz w:val="22"/>
          <w:szCs w:val="22"/>
        </w:rPr>
        <w:t xml:space="preserve"> means—</w:t>
      </w:r>
    </w:p>
    <w:p w14:paraId="434F2C81" w14:textId="77777777" w:rsidR="00D979B1" w:rsidRPr="00B4198E" w:rsidRDefault="00D979B1" w:rsidP="00B4198E">
      <w:pPr>
        <w:pStyle w:val="ListParagraph"/>
        <w:numPr>
          <w:ilvl w:val="0"/>
          <w:numId w:val="32"/>
        </w:numPr>
        <w:spacing w:after="0" w:line="240" w:lineRule="auto"/>
        <w:ind w:left="1134" w:hanging="567"/>
        <w:contextualSpacing w:val="0"/>
        <w:rPr>
          <w:rFonts w:ascii="Arial" w:hAnsi="Arial" w:cs="Arial"/>
        </w:rPr>
      </w:pPr>
      <w:r w:rsidRPr="00B4198E">
        <w:rPr>
          <w:rFonts w:ascii="Arial" w:hAnsi="Arial" w:cs="Arial"/>
        </w:rPr>
        <w:t>maintaining the potential of fisheries resources to meet the reasonably foreseeable needs of future generations; and</w:t>
      </w:r>
    </w:p>
    <w:p w14:paraId="4F6B26F5" w14:textId="77777777" w:rsidR="00D979B1" w:rsidRPr="00B4198E" w:rsidRDefault="00D979B1" w:rsidP="00B4198E">
      <w:pPr>
        <w:pStyle w:val="ListParagraph"/>
        <w:numPr>
          <w:ilvl w:val="0"/>
          <w:numId w:val="32"/>
        </w:numPr>
        <w:spacing w:after="0" w:line="240" w:lineRule="auto"/>
        <w:ind w:left="1134" w:hanging="567"/>
        <w:contextualSpacing w:val="0"/>
        <w:rPr>
          <w:rFonts w:ascii="Arial" w:hAnsi="Arial" w:cs="Arial"/>
        </w:rPr>
      </w:pPr>
      <w:r w:rsidRPr="00B4198E">
        <w:rPr>
          <w:rFonts w:ascii="Arial" w:hAnsi="Arial" w:cs="Arial"/>
        </w:rPr>
        <w:t>avoiding, remedying, or mitigating any adverse effects of fishing on the aquatic environment.</w:t>
      </w:r>
    </w:p>
    <w:p w14:paraId="5CC25387" w14:textId="77777777" w:rsidR="00D979B1" w:rsidRPr="00426161" w:rsidRDefault="00D979B1" w:rsidP="00D979B1">
      <w:pPr>
        <w:pStyle w:val="NoSpacing"/>
        <w:ind w:left="567" w:hanging="567"/>
        <w:rPr>
          <w:rFonts w:ascii="Arial" w:hAnsi="Arial" w:cs="Arial"/>
          <w:szCs w:val="20"/>
        </w:rPr>
      </w:pPr>
    </w:p>
    <w:p w14:paraId="260B49AC" w14:textId="77777777" w:rsidR="00D979B1" w:rsidRPr="00426161" w:rsidRDefault="00D979B1" w:rsidP="009D1C04">
      <w:pPr>
        <w:pStyle w:val="NoSpacing"/>
        <w:ind w:left="567"/>
        <w:rPr>
          <w:rFonts w:ascii="Arial" w:hAnsi="Arial" w:cs="Arial"/>
          <w:szCs w:val="20"/>
        </w:rPr>
      </w:pPr>
      <w:r w:rsidRPr="00426161">
        <w:rPr>
          <w:rStyle w:val="HTMLDefinition"/>
          <w:rFonts w:ascii="Arial" w:hAnsi="Arial" w:cs="Arial"/>
          <w:b/>
          <w:bCs/>
          <w:color w:val="000000"/>
          <w:szCs w:val="20"/>
          <w:bdr w:val="none" w:sz="0" w:space="0" w:color="auto" w:frame="1"/>
        </w:rPr>
        <w:t>Utilisation</w:t>
      </w:r>
      <w:r w:rsidRPr="00426161">
        <w:rPr>
          <w:rFonts w:ascii="Arial" w:hAnsi="Arial" w:cs="Arial"/>
          <w:szCs w:val="20"/>
        </w:rPr>
        <w:t xml:space="preserve"> means conserving, using, enhancing, and developing fisheries resources to enable people to provide for their social, economic, and cultural well-being.</w:t>
      </w:r>
    </w:p>
    <w:p w14:paraId="1A1606FB" w14:textId="77777777" w:rsidR="00D979B1" w:rsidRPr="00426161" w:rsidRDefault="00D979B1" w:rsidP="00D979B1">
      <w:pPr>
        <w:pStyle w:val="ListParagraph"/>
        <w:spacing w:after="0" w:line="240" w:lineRule="auto"/>
        <w:ind w:left="567"/>
        <w:rPr>
          <w:rFonts w:ascii="Arial" w:hAnsi="Arial" w:cs="Arial"/>
          <w:szCs w:val="20"/>
        </w:rPr>
      </w:pPr>
    </w:p>
    <w:p w14:paraId="5A168733"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0"/>
        </w:rPr>
        <w:t>The Supreme Court has stated that the purpose statement incorporates “the two competing social policies reflected in the Act” and that “both policies are to be accommodated as far as is practicable in the administration of fisheries under the quota management system....[I]n the attribution of due weight to each policy that given to utilisation must not be such as to jeopardise sustainability”.</w:t>
      </w:r>
      <w:r w:rsidRPr="00426161">
        <w:rPr>
          <w:rFonts w:ascii="Arial" w:hAnsi="Arial" w:cs="Arial"/>
          <w:szCs w:val="20"/>
          <w:vertAlign w:val="superscript"/>
        </w:rPr>
        <w:footnoteReference w:id="20"/>
      </w:r>
    </w:p>
    <w:p w14:paraId="2D4D9C53" w14:textId="77777777" w:rsidR="00D979B1" w:rsidRPr="00426161" w:rsidRDefault="00D979B1" w:rsidP="00B4198E">
      <w:pPr>
        <w:pStyle w:val="NoSpacing"/>
        <w:ind w:left="720"/>
        <w:rPr>
          <w:rFonts w:ascii="Arial" w:hAnsi="Arial" w:cs="Arial"/>
          <w:szCs w:val="20"/>
        </w:rPr>
      </w:pPr>
    </w:p>
    <w:p w14:paraId="1572EC1B" w14:textId="77777777" w:rsidR="00D979B1" w:rsidRPr="007A6AD7" w:rsidRDefault="00D979B1" w:rsidP="009D1C04">
      <w:pPr>
        <w:pStyle w:val="Heading2"/>
        <w:numPr>
          <w:ilvl w:val="0"/>
          <w:numId w:val="0"/>
        </w:numPr>
        <w:ind w:left="576" w:hanging="576"/>
      </w:pPr>
      <w:bookmarkStart w:id="148" w:name="_Toc531692808"/>
      <w:bookmarkStart w:id="149" w:name="_Toc532471906"/>
      <w:r w:rsidRPr="007A6AD7">
        <w:t>Section 9 – Environmental principles</w:t>
      </w:r>
      <w:bookmarkEnd w:id="148"/>
      <w:bookmarkEnd w:id="149"/>
    </w:p>
    <w:p w14:paraId="74D87403"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0"/>
        </w:rPr>
        <w:t xml:space="preserve">Section 9 prescribes three environmental principles that the Minister must take into account when exercising powers in relation to the utilising of fisheries resources or ensuring sustainability. </w:t>
      </w:r>
    </w:p>
    <w:p w14:paraId="2EE79DBD" w14:textId="77777777" w:rsidR="00D979B1" w:rsidRPr="007A6AD7" w:rsidRDefault="00D979B1" w:rsidP="00D979B1">
      <w:pPr>
        <w:pStyle w:val="Heading3"/>
      </w:pPr>
      <w:r w:rsidRPr="007A6AD7">
        <w:t>Principle 1: Associated or dependent species should be maintained above a level that ensures their long-term viability.</w:t>
      </w:r>
    </w:p>
    <w:p w14:paraId="069B1EE0"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0"/>
        </w:rPr>
        <w:t xml:space="preserve">The Act defines “associated and dependent species” as any non-harvested species taken or otherwise affected by the taking of a harvested species. “Harvested species” is defined to mean any fish, aquatic life or seaweed that may for the time being be taken with lawful authority. So this principle is focussed on species (such as protected species) for which a permission to target commercially cannot be given. </w:t>
      </w:r>
    </w:p>
    <w:p w14:paraId="07FC283B" w14:textId="77777777" w:rsidR="00D979B1" w:rsidRPr="00426161" w:rsidRDefault="00D979B1" w:rsidP="00D979B1">
      <w:pPr>
        <w:pStyle w:val="ListParagraph"/>
        <w:spacing w:after="0" w:line="240" w:lineRule="auto"/>
        <w:ind w:left="567"/>
        <w:jc w:val="left"/>
        <w:rPr>
          <w:rFonts w:ascii="Arial" w:hAnsi="Arial" w:cs="Arial"/>
          <w:szCs w:val="20"/>
        </w:rPr>
      </w:pPr>
    </w:p>
    <w:p w14:paraId="6FA02364"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4"/>
        </w:rPr>
        <w:t>The term “long-term viability” (in relation to a biomass level of a stock or species) is defined in the Act as a low risk of collapse of the stock or species, and the stock or species has the potential to recover to a higher biomass level. This principle therefore requires the continuing existence of species by maintaining populations in a condition that ensures a particular level of reproductive success.</w:t>
      </w:r>
    </w:p>
    <w:p w14:paraId="6D7AA9DD" w14:textId="77777777" w:rsidR="00D979B1" w:rsidRPr="00426161" w:rsidRDefault="00D979B1" w:rsidP="00D979B1">
      <w:pPr>
        <w:pStyle w:val="ListParagraph"/>
        <w:spacing w:line="240" w:lineRule="auto"/>
        <w:jc w:val="left"/>
        <w:rPr>
          <w:rFonts w:ascii="Arial" w:hAnsi="Arial" w:cs="Arial"/>
          <w:szCs w:val="24"/>
        </w:rPr>
      </w:pPr>
    </w:p>
    <w:p w14:paraId="15D36AEA"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4"/>
        </w:rPr>
        <w:t>Where fishing is affecting the viability of associated and dependent species, appropriate measures such as method restrictions, area closures, and potentially adjustments to the TAC of the target stock should be considered.</w:t>
      </w:r>
      <w:r>
        <w:rPr>
          <w:rFonts w:ascii="Arial" w:hAnsi="Arial" w:cs="Arial"/>
          <w:szCs w:val="24"/>
        </w:rPr>
        <w:t xml:space="preserve"> </w:t>
      </w:r>
      <w:r w:rsidRPr="00426161">
        <w:rPr>
          <w:rFonts w:ascii="Arial" w:hAnsi="Arial" w:cs="Arial"/>
          <w:szCs w:val="20"/>
        </w:rPr>
        <w:t>There are no known associated or dependent species that will be affected by the proposals</w:t>
      </w:r>
    </w:p>
    <w:p w14:paraId="6AB94E93" w14:textId="77777777" w:rsidR="00D979B1" w:rsidRPr="003D2156" w:rsidRDefault="00D979B1" w:rsidP="00D979B1">
      <w:pPr>
        <w:pStyle w:val="Heading3"/>
      </w:pPr>
      <w:r w:rsidRPr="003D2156">
        <w:t>Principle 2:</w:t>
      </w:r>
      <w:r>
        <w:t xml:space="preserve"> </w:t>
      </w:r>
      <w:r w:rsidRPr="003D2156">
        <w:t>Biological diversity of the aquatic environment should be maintained.</w:t>
      </w:r>
    </w:p>
    <w:p w14:paraId="620846C0"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4"/>
        </w:rPr>
      </w:pPr>
      <w:r w:rsidRPr="00426161">
        <w:rPr>
          <w:rFonts w:ascii="Arial" w:hAnsi="Arial" w:cs="Arial"/>
          <w:szCs w:val="24"/>
        </w:rPr>
        <w:t xml:space="preserve">“Biological diversity” is defined in the Act as ‘the variability among living organisms, including diversity within species, between species, and of ecosystems’. Determining the level of fishing or the impacts of fishing that can occur requires an assessment of the risk that fishing might cause catastrophic decline in species abundance or cause biodiversity to be reduced to an unacceptable level. </w:t>
      </w:r>
    </w:p>
    <w:p w14:paraId="728F1C6C" w14:textId="77777777" w:rsidR="00D979B1" w:rsidRPr="003D2156" w:rsidRDefault="00D979B1" w:rsidP="00D979B1">
      <w:pPr>
        <w:pStyle w:val="Heading3"/>
      </w:pPr>
      <w:r w:rsidRPr="003D2156">
        <w:t>Principle 3:</w:t>
      </w:r>
      <w:r>
        <w:t xml:space="preserve"> </w:t>
      </w:r>
      <w:r w:rsidRPr="003D2156">
        <w:t>Habitat of particular significance for fisheries management should be protected.</w:t>
      </w:r>
    </w:p>
    <w:p w14:paraId="7CF9E3D6" w14:textId="2DB83C0F" w:rsidR="00B4198E" w:rsidRDefault="00D979B1" w:rsidP="00B4198E">
      <w:pPr>
        <w:pStyle w:val="ListParagraph"/>
        <w:numPr>
          <w:ilvl w:val="0"/>
          <w:numId w:val="26"/>
        </w:numPr>
        <w:spacing w:after="0" w:line="240" w:lineRule="auto"/>
        <w:ind w:left="567" w:hanging="567"/>
        <w:jc w:val="left"/>
        <w:rPr>
          <w:rFonts w:ascii="Arial" w:hAnsi="Arial" w:cs="Arial"/>
          <w:szCs w:val="24"/>
        </w:rPr>
      </w:pPr>
      <w:r w:rsidRPr="00426161">
        <w:rPr>
          <w:rFonts w:ascii="Arial" w:hAnsi="Arial" w:cs="Arial"/>
          <w:szCs w:val="24"/>
        </w:rPr>
        <w:t>Habitat is defined in the Oxford Dictionary of English to mean the natural home or environment of an animal, plant or species. Fisheries New Zealand considers habitat to mean those waters and substrates necessary for fish to spawn, breed, feed or grow to maturity. These should be protected and adverse effects on them avoided, remedied, or mitigated</w:t>
      </w:r>
      <w:r w:rsidR="00B4198E">
        <w:rPr>
          <w:rFonts w:ascii="Arial" w:hAnsi="Arial" w:cs="Arial"/>
          <w:szCs w:val="24"/>
        </w:rPr>
        <w:t>.</w:t>
      </w:r>
    </w:p>
    <w:p w14:paraId="55CCD29A" w14:textId="77777777" w:rsidR="00B4198E" w:rsidRPr="00B4198E" w:rsidRDefault="00B4198E" w:rsidP="00B4198E">
      <w:pPr>
        <w:pStyle w:val="ListParagraph"/>
        <w:spacing w:after="0" w:line="240" w:lineRule="auto"/>
        <w:ind w:left="567"/>
        <w:jc w:val="left"/>
        <w:rPr>
          <w:rFonts w:ascii="Arial" w:hAnsi="Arial" w:cs="Arial"/>
          <w:szCs w:val="24"/>
        </w:rPr>
      </w:pPr>
    </w:p>
    <w:p w14:paraId="19A6934A" w14:textId="77777777" w:rsidR="00B4198E" w:rsidRPr="00D57F9F" w:rsidRDefault="00B4198E" w:rsidP="00B4198E">
      <w:pPr>
        <w:pStyle w:val="ListParagraph"/>
        <w:numPr>
          <w:ilvl w:val="0"/>
          <w:numId w:val="26"/>
        </w:numPr>
        <w:spacing w:after="0" w:line="240" w:lineRule="auto"/>
        <w:ind w:left="567" w:hanging="567"/>
        <w:jc w:val="left"/>
        <w:rPr>
          <w:rFonts w:ascii="Arial" w:hAnsi="Arial" w:cs="Arial"/>
          <w:szCs w:val="24"/>
        </w:rPr>
      </w:pPr>
      <w:r w:rsidRPr="00D57F9F">
        <w:rPr>
          <w:rFonts w:ascii="Arial" w:hAnsi="Arial" w:cs="Arial"/>
          <w:szCs w:val="24"/>
        </w:rPr>
        <w:lastRenderedPageBreak/>
        <w:t xml:space="preserve">The proposals are not expected to change the environmental impacts and interactions significantly for the CRA </w:t>
      </w:r>
      <w:r>
        <w:rPr>
          <w:rFonts w:ascii="Arial" w:hAnsi="Arial" w:cs="Arial"/>
          <w:szCs w:val="24"/>
        </w:rPr>
        <w:t>3</w:t>
      </w:r>
      <w:r w:rsidRPr="00D57F9F">
        <w:rPr>
          <w:rFonts w:ascii="Arial" w:hAnsi="Arial" w:cs="Arial"/>
          <w:szCs w:val="24"/>
        </w:rPr>
        <w:t xml:space="preserve">, 4, and 8 fisheries. Rock lobsters are caught by potting and diving, which are selective fishing methods with low expected impacts on the benthic environment and low bycatch levels. Where TAC increases are proposed for CRA 4 and CRA 8, the proposals will provide for additional catch resulting from greater relative abundance in these fisheries, but there is unlikely to be any additional vessels. Where </w:t>
      </w:r>
      <w:r>
        <w:rPr>
          <w:rFonts w:ascii="Arial" w:hAnsi="Arial" w:cs="Arial"/>
          <w:szCs w:val="24"/>
        </w:rPr>
        <w:t xml:space="preserve">a </w:t>
      </w:r>
      <w:r w:rsidRPr="00D57F9F">
        <w:rPr>
          <w:rFonts w:ascii="Arial" w:hAnsi="Arial" w:cs="Arial"/>
          <w:szCs w:val="24"/>
        </w:rPr>
        <w:t>TAC decrease</w:t>
      </w:r>
      <w:r>
        <w:rPr>
          <w:rFonts w:ascii="Arial" w:hAnsi="Arial" w:cs="Arial"/>
          <w:szCs w:val="24"/>
        </w:rPr>
        <w:t xml:space="preserve"> is</w:t>
      </w:r>
      <w:r w:rsidRPr="00D57F9F">
        <w:rPr>
          <w:rFonts w:ascii="Arial" w:hAnsi="Arial" w:cs="Arial"/>
          <w:szCs w:val="24"/>
        </w:rPr>
        <w:t xml:space="preserve"> proposed for CRA </w:t>
      </w:r>
      <w:r>
        <w:rPr>
          <w:rFonts w:ascii="Arial" w:hAnsi="Arial" w:cs="Arial"/>
          <w:szCs w:val="24"/>
        </w:rPr>
        <w:t>3</w:t>
      </w:r>
      <w:r w:rsidRPr="00D57F9F">
        <w:rPr>
          <w:rFonts w:ascii="Arial" w:hAnsi="Arial" w:cs="Arial"/>
          <w:szCs w:val="24"/>
        </w:rPr>
        <w:t>, targeted fishing effort is expected to reduce.</w:t>
      </w:r>
    </w:p>
    <w:p w14:paraId="0A3D54EE" w14:textId="77777777" w:rsidR="00B4198E" w:rsidRDefault="00B4198E" w:rsidP="00D979B1">
      <w:pPr>
        <w:ind w:left="567" w:hanging="567"/>
        <w:rPr>
          <w:rFonts w:ascii="Arial" w:hAnsi="Arial" w:cs="Arial"/>
        </w:rPr>
      </w:pPr>
    </w:p>
    <w:p w14:paraId="7AC69729" w14:textId="461A536C" w:rsidR="00D979B1" w:rsidRPr="007B26F8" w:rsidRDefault="005467BA" w:rsidP="009D1C04">
      <w:pPr>
        <w:pStyle w:val="Heading2"/>
        <w:numPr>
          <w:ilvl w:val="0"/>
          <w:numId w:val="0"/>
        </w:numPr>
        <w:ind w:left="576" w:hanging="576"/>
      </w:pPr>
      <w:bookmarkStart w:id="150" w:name="_Toc531692809"/>
      <w:bookmarkStart w:id="151" w:name="_Toc532471907"/>
      <w:r>
        <w:t>Section 10 – Information P</w:t>
      </w:r>
      <w:r w:rsidR="00D979B1" w:rsidRPr="007B26F8">
        <w:t>rinciples</w:t>
      </w:r>
      <w:bookmarkEnd w:id="150"/>
      <w:bookmarkEnd w:id="151"/>
    </w:p>
    <w:p w14:paraId="2FA1FADA"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4"/>
        </w:rPr>
      </w:pPr>
      <w:r w:rsidRPr="00426161">
        <w:rPr>
          <w:rFonts w:ascii="Arial" w:hAnsi="Arial" w:cs="Arial"/>
          <w:szCs w:val="24"/>
        </w:rPr>
        <w:t>Section 10 prescribes four information principles that the Minister</w:t>
      </w:r>
      <w:r w:rsidRPr="00426161" w:rsidDel="00C522B7">
        <w:rPr>
          <w:rFonts w:ascii="Arial" w:hAnsi="Arial" w:cs="Arial"/>
          <w:szCs w:val="24"/>
        </w:rPr>
        <w:t xml:space="preserve"> </w:t>
      </w:r>
      <w:r w:rsidRPr="00426161">
        <w:rPr>
          <w:rFonts w:ascii="Arial" w:hAnsi="Arial" w:cs="Arial"/>
          <w:szCs w:val="24"/>
        </w:rPr>
        <w:t>must take into account when exercising powers in relation to the utilising of fisheries resources or ensuring sustainability:</w:t>
      </w:r>
    </w:p>
    <w:p w14:paraId="742159E1" w14:textId="77777777" w:rsidR="00D979B1" w:rsidRPr="00426161" w:rsidRDefault="00D979B1" w:rsidP="00D979B1">
      <w:pPr>
        <w:numPr>
          <w:ilvl w:val="0"/>
          <w:numId w:val="12"/>
        </w:numPr>
        <w:ind w:left="1134" w:hanging="567"/>
        <w:contextualSpacing w:val="0"/>
        <w:rPr>
          <w:rFonts w:ascii="Arial" w:hAnsi="Arial" w:cs="Arial"/>
          <w:sz w:val="22"/>
          <w:szCs w:val="24"/>
        </w:rPr>
      </w:pPr>
      <w:r w:rsidRPr="00426161">
        <w:rPr>
          <w:rFonts w:ascii="Arial" w:hAnsi="Arial" w:cs="Arial"/>
          <w:sz w:val="22"/>
          <w:szCs w:val="24"/>
        </w:rPr>
        <w:t>Decisions should be based on the best available information;</w:t>
      </w:r>
    </w:p>
    <w:p w14:paraId="3E820107" w14:textId="77777777" w:rsidR="00D979B1" w:rsidRPr="00426161" w:rsidRDefault="00D979B1" w:rsidP="00D979B1">
      <w:pPr>
        <w:numPr>
          <w:ilvl w:val="0"/>
          <w:numId w:val="12"/>
        </w:numPr>
        <w:ind w:left="1134" w:hanging="567"/>
        <w:contextualSpacing w:val="0"/>
        <w:rPr>
          <w:rFonts w:ascii="Arial" w:hAnsi="Arial" w:cs="Arial"/>
          <w:sz w:val="22"/>
          <w:szCs w:val="24"/>
        </w:rPr>
      </w:pPr>
      <w:r w:rsidRPr="00426161">
        <w:rPr>
          <w:rFonts w:ascii="Arial" w:hAnsi="Arial" w:cs="Arial"/>
          <w:sz w:val="22"/>
          <w:szCs w:val="24"/>
        </w:rPr>
        <w:t>Decision makers should take into account any uncertainty in the available information;</w:t>
      </w:r>
    </w:p>
    <w:p w14:paraId="1C6E3FCA" w14:textId="77777777" w:rsidR="00D979B1" w:rsidRPr="00426161" w:rsidRDefault="00D979B1" w:rsidP="00D979B1">
      <w:pPr>
        <w:numPr>
          <w:ilvl w:val="0"/>
          <w:numId w:val="12"/>
        </w:numPr>
        <w:ind w:left="1134" w:hanging="567"/>
        <w:contextualSpacing w:val="0"/>
        <w:rPr>
          <w:rFonts w:ascii="Arial" w:hAnsi="Arial" w:cs="Arial"/>
          <w:sz w:val="22"/>
          <w:szCs w:val="24"/>
        </w:rPr>
      </w:pPr>
      <w:r w:rsidRPr="00426161">
        <w:rPr>
          <w:rFonts w:ascii="Arial" w:hAnsi="Arial" w:cs="Arial"/>
          <w:sz w:val="22"/>
          <w:szCs w:val="24"/>
        </w:rPr>
        <w:t>Decision makers should be cautious when information is uncertain, unreliable, or inadequate; and</w:t>
      </w:r>
    </w:p>
    <w:p w14:paraId="4C91DE7B" w14:textId="77777777" w:rsidR="00D979B1" w:rsidRPr="00426161" w:rsidRDefault="00D979B1" w:rsidP="00D979B1">
      <w:pPr>
        <w:numPr>
          <w:ilvl w:val="0"/>
          <w:numId w:val="12"/>
        </w:numPr>
        <w:ind w:left="1134" w:hanging="567"/>
        <w:contextualSpacing w:val="0"/>
        <w:rPr>
          <w:rFonts w:ascii="Arial" w:hAnsi="Arial" w:cs="Arial"/>
          <w:sz w:val="22"/>
          <w:szCs w:val="24"/>
        </w:rPr>
      </w:pPr>
      <w:r w:rsidRPr="00426161">
        <w:rPr>
          <w:rFonts w:ascii="Arial" w:hAnsi="Arial" w:cs="Arial"/>
          <w:sz w:val="22"/>
          <w:szCs w:val="24"/>
        </w:rPr>
        <w:t>The absence of, or any uncertainty in, any information should not be used as a reason for postponing or failing to take any measure to achieve the purpose of the Act.</w:t>
      </w:r>
    </w:p>
    <w:p w14:paraId="1310F412" w14:textId="77777777" w:rsidR="00D979B1" w:rsidRPr="00426161" w:rsidRDefault="00D979B1" w:rsidP="00D979B1">
      <w:pPr>
        <w:pStyle w:val="ListParagraph"/>
        <w:spacing w:after="0" w:line="240" w:lineRule="auto"/>
        <w:ind w:left="0"/>
        <w:contextualSpacing w:val="0"/>
        <w:rPr>
          <w:rFonts w:ascii="Arial" w:hAnsi="Arial" w:cs="Arial"/>
          <w:szCs w:val="24"/>
        </w:rPr>
      </w:pPr>
    </w:p>
    <w:p w14:paraId="0C7012C9" w14:textId="77777777" w:rsidR="00D979B1" w:rsidRPr="0048790D" w:rsidRDefault="00D979B1" w:rsidP="00F1422F">
      <w:pPr>
        <w:pStyle w:val="ListParagraph"/>
        <w:numPr>
          <w:ilvl w:val="0"/>
          <w:numId w:val="26"/>
        </w:numPr>
        <w:spacing w:after="0" w:line="240" w:lineRule="auto"/>
        <w:ind w:left="567" w:hanging="567"/>
        <w:jc w:val="left"/>
        <w:rPr>
          <w:rFonts w:ascii="Arial" w:hAnsi="Arial" w:cs="Arial"/>
          <w:szCs w:val="24"/>
        </w:rPr>
      </w:pPr>
      <w:r w:rsidRPr="0048790D">
        <w:rPr>
          <w:rFonts w:ascii="Arial" w:hAnsi="Arial" w:cs="Arial"/>
          <w:szCs w:val="24"/>
        </w:rPr>
        <w:t>Less than full information suggests caution in decision-making, not deferral of a decision completely. “The fact that a dispute exists as to the basic material upon which the decision must rest, does not mean that necessarily the most conservative approach must be adopted. The obligation is to consider the material and decide upon the weight which can be given it with such care as the situation requires.”</w:t>
      </w:r>
      <w:r w:rsidRPr="0048790D">
        <w:rPr>
          <w:rFonts w:ascii="Arial" w:hAnsi="Arial" w:cs="Arial"/>
          <w:szCs w:val="24"/>
          <w:vertAlign w:val="superscript"/>
        </w:rPr>
        <w:footnoteReference w:id="21"/>
      </w:r>
    </w:p>
    <w:p w14:paraId="428D5DFE" w14:textId="77777777" w:rsidR="00D979B1" w:rsidRPr="0048790D" w:rsidRDefault="00D979B1" w:rsidP="00153B7A">
      <w:pPr>
        <w:pStyle w:val="ListParagraph"/>
        <w:spacing w:after="0" w:line="240" w:lineRule="auto"/>
        <w:ind w:left="567"/>
        <w:contextualSpacing w:val="0"/>
        <w:rPr>
          <w:rFonts w:ascii="Arial" w:hAnsi="Arial" w:cs="Arial"/>
          <w:szCs w:val="24"/>
        </w:rPr>
      </w:pPr>
    </w:p>
    <w:p w14:paraId="445BC339" w14:textId="77777777" w:rsidR="00D979B1" w:rsidRPr="0048790D" w:rsidRDefault="00D979B1" w:rsidP="00153B7A">
      <w:pPr>
        <w:pStyle w:val="ListParagraph"/>
        <w:numPr>
          <w:ilvl w:val="0"/>
          <w:numId w:val="26"/>
        </w:numPr>
        <w:spacing w:after="0" w:line="240" w:lineRule="auto"/>
        <w:ind w:left="567" w:hanging="567"/>
        <w:contextualSpacing w:val="0"/>
        <w:jc w:val="left"/>
        <w:rPr>
          <w:rFonts w:ascii="Arial" w:hAnsi="Arial" w:cs="Arial"/>
          <w:szCs w:val="24"/>
        </w:rPr>
      </w:pPr>
      <w:r w:rsidRPr="0048790D">
        <w:rPr>
          <w:rFonts w:ascii="Arial" w:hAnsi="Arial" w:cs="Arial"/>
          <w:szCs w:val="24"/>
        </w:rPr>
        <w:t>Both scientific and anecdotal information need to be considered and weighed accordingly when making management decisions. The weighting assigned to particular information is subject to the certainty, reliability, and adequacy of that information.</w:t>
      </w:r>
    </w:p>
    <w:p w14:paraId="0F5D3568" w14:textId="77777777" w:rsidR="00D979B1" w:rsidRPr="0048790D" w:rsidRDefault="00D979B1" w:rsidP="00153B7A">
      <w:pPr>
        <w:pStyle w:val="ListParagraph"/>
        <w:spacing w:after="0" w:line="240" w:lineRule="auto"/>
        <w:contextualSpacing w:val="0"/>
        <w:rPr>
          <w:rFonts w:ascii="Arial" w:hAnsi="Arial" w:cs="Arial"/>
          <w:szCs w:val="24"/>
        </w:rPr>
      </w:pPr>
    </w:p>
    <w:p w14:paraId="05D68624" w14:textId="77777777" w:rsidR="00D979B1" w:rsidRPr="0048790D" w:rsidRDefault="00D979B1" w:rsidP="00153B7A">
      <w:pPr>
        <w:pStyle w:val="ListParagraph"/>
        <w:numPr>
          <w:ilvl w:val="0"/>
          <w:numId w:val="26"/>
        </w:numPr>
        <w:spacing w:after="0" w:line="240" w:lineRule="auto"/>
        <w:ind w:left="567" w:hanging="567"/>
        <w:contextualSpacing w:val="0"/>
        <w:jc w:val="left"/>
        <w:rPr>
          <w:rFonts w:ascii="Arial" w:hAnsi="Arial" w:cs="Arial"/>
          <w:szCs w:val="24"/>
        </w:rPr>
      </w:pPr>
      <w:r w:rsidRPr="0048790D">
        <w:rPr>
          <w:rFonts w:ascii="Arial" w:hAnsi="Arial" w:cs="Arial"/>
          <w:szCs w:val="24"/>
        </w:rPr>
        <w:t>Fisheries New Zealand and the National Rock Lobster Management Group have based the analysis in this paper on the best available information and noted uncertainties where relevant.</w:t>
      </w:r>
    </w:p>
    <w:p w14:paraId="11E4BEC4" w14:textId="77777777" w:rsidR="00D979B1" w:rsidRPr="0048790D" w:rsidRDefault="00D979B1" w:rsidP="00153B7A">
      <w:pPr>
        <w:pStyle w:val="ListParagraph"/>
        <w:spacing w:after="0" w:line="240" w:lineRule="auto"/>
        <w:contextualSpacing w:val="0"/>
        <w:rPr>
          <w:rFonts w:ascii="Arial" w:hAnsi="Arial" w:cs="Arial"/>
          <w:szCs w:val="24"/>
        </w:rPr>
      </w:pPr>
    </w:p>
    <w:p w14:paraId="0F7714B6" w14:textId="2EC3B618" w:rsidR="00D979B1" w:rsidRPr="0048790D" w:rsidRDefault="00D979B1" w:rsidP="00153B7A">
      <w:pPr>
        <w:pStyle w:val="ListParagraph"/>
        <w:numPr>
          <w:ilvl w:val="0"/>
          <w:numId w:val="26"/>
        </w:numPr>
        <w:spacing w:after="0" w:line="240" w:lineRule="auto"/>
        <w:ind w:left="567" w:hanging="567"/>
        <w:contextualSpacing w:val="0"/>
        <w:jc w:val="left"/>
        <w:rPr>
          <w:rFonts w:ascii="Arial" w:hAnsi="Arial" w:cs="Arial"/>
          <w:szCs w:val="24"/>
        </w:rPr>
      </w:pPr>
      <w:r w:rsidRPr="0048790D">
        <w:rPr>
          <w:rFonts w:ascii="Arial" w:hAnsi="Arial" w:cs="Arial"/>
          <w:szCs w:val="24"/>
        </w:rPr>
        <w:t>As a general principle, information outlined in Fisheries New Zealand’s</w:t>
      </w:r>
      <w:r w:rsidR="0048790D" w:rsidRPr="0048790D">
        <w:rPr>
          <w:rFonts w:ascii="Arial" w:hAnsi="Arial" w:cs="Arial"/>
          <w:szCs w:val="24"/>
        </w:rPr>
        <w:t xml:space="preserve"> </w:t>
      </w:r>
      <w:r w:rsidRPr="0048790D">
        <w:rPr>
          <w:rFonts w:ascii="Arial" w:hAnsi="Arial" w:cs="Arial"/>
          <w:szCs w:val="24"/>
        </w:rPr>
        <w:t>Fishery Assessment Plenary Report is considered the best available information on stock status and should be given significant weighting. The information presented in the Plenary Report is subject to a robust process of scientific peer review and is assessed against the Research and Science Information Standard for New Zealand Fisheries.</w:t>
      </w:r>
      <w:r w:rsidRPr="0048790D">
        <w:rPr>
          <w:rStyle w:val="FootnoteReference"/>
          <w:rFonts w:ascii="Arial" w:eastAsiaTheme="majorEastAsia" w:hAnsi="Arial" w:cs="Arial"/>
          <w:szCs w:val="24"/>
        </w:rPr>
        <w:footnoteReference w:id="22"/>
      </w:r>
      <w:r w:rsidRPr="0048790D">
        <w:rPr>
          <w:rFonts w:ascii="Arial" w:hAnsi="Arial" w:cs="Arial"/>
          <w:szCs w:val="24"/>
        </w:rPr>
        <w:t xml:space="preserve"> Corroborated anecdotal information also has a useful role to play in the stock assessment process and in the management process. </w:t>
      </w:r>
    </w:p>
    <w:p w14:paraId="666243BC" w14:textId="77777777" w:rsidR="00D979B1" w:rsidRPr="0048790D" w:rsidRDefault="00D979B1" w:rsidP="00153B7A">
      <w:pPr>
        <w:pStyle w:val="ListParagraph"/>
        <w:spacing w:after="0" w:line="240" w:lineRule="auto"/>
        <w:contextualSpacing w:val="0"/>
        <w:rPr>
          <w:rFonts w:ascii="Arial" w:hAnsi="Arial" w:cs="Arial"/>
          <w:szCs w:val="24"/>
        </w:rPr>
      </w:pPr>
    </w:p>
    <w:p w14:paraId="62CD7749" w14:textId="77777777" w:rsidR="00D979B1" w:rsidRPr="0048790D" w:rsidRDefault="00D979B1" w:rsidP="00153B7A">
      <w:pPr>
        <w:pStyle w:val="ListParagraph"/>
        <w:numPr>
          <w:ilvl w:val="0"/>
          <w:numId w:val="26"/>
        </w:numPr>
        <w:spacing w:after="0" w:line="240" w:lineRule="auto"/>
        <w:ind w:left="567" w:hanging="567"/>
        <w:contextualSpacing w:val="0"/>
        <w:jc w:val="left"/>
        <w:rPr>
          <w:rFonts w:ascii="Arial" w:hAnsi="Arial" w:cs="Arial"/>
          <w:szCs w:val="24"/>
        </w:rPr>
      </w:pPr>
      <w:r w:rsidRPr="0048790D">
        <w:rPr>
          <w:rFonts w:ascii="Arial" w:hAnsi="Arial" w:cs="Arial"/>
          <w:szCs w:val="24"/>
        </w:rPr>
        <w:t>The best available information has been used as the basis for the proposals in this paper. All science information on which the management proposals are based, has been peer-reviewed by one of Fisheries New Zealand’s Science working Groups and meets the Research and Science Information Standard for New Zealand’s Fisheries.</w:t>
      </w:r>
    </w:p>
    <w:p w14:paraId="7F660C40" w14:textId="77777777" w:rsidR="00D979B1" w:rsidRPr="007E74AF" w:rsidRDefault="00D979B1" w:rsidP="00153B7A">
      <w:pPr>
        <w:pStyle w:val="ListParagraph"/>
        <w:spacing w:after="0" w:line="240" w:lineRule="auto"/>
        <w:ind w:left="0"/>
        <w:contextualSpacing w:val="0"/>
        <w:rPr>
          <w:rFonts w:ascii="Times New Roman" w:hAnsi="Times New Roman"/>
          <w:sz w:val="24"/>
          <w:szCs w:val="24"/>
        </w:rPr>
      </w:pPr>
    </w:p>
    <w:p w14:paraId="08F0E033" w14:textId="76420B51" w:rsidR="00D979B1" w:rsidRPr="00605692" w:rsidRDefault="005467BA" w:rsidP="009D1C04">
      <w:pPr>
        <w:pStyle w:val="Heading2"/>
        <w:numPr>
          <w:ilvl w:val="0"/>
          <w:numId w:val="0"/>
        </w:numPr>
        <w:ind w:left="576" w:hanging="576"/>
      </w:pPr>
      <w:bookmarkStart w:id="152" w:name="_Toc531692810"/>
      <w:bookmarkStart w:id="153" w:name="_Toc532471908"/>
      <w:r>
        <w:lastRenderedPageBreak/>
        <w:t>Section 11 – Sustainability M</w:t>
      </w:r>
      <w:r w:rsidR="00D979B1" w:rsidRPr="00605692">
        <w:t>easures</w:t>
      </w:r>
      <w:bookmarkEnd w:id="152"/>
      <w:bookmarkEnd w:id="153"/>
    </w:p>
    <w:p w14:paraId="1BD5BC34" w14:textId="77777777" w:rsidR="00D979B1" w:rsidRPr="00426161" w:rsidRDefault="00D979B1" w:rsidP="00F1422F">
      <w:pPr>
        <w:pStyle w:val="ListParagraph"/>
        <w:numPr>
          <w:ilvl w:val="0"/>
          <w:numId w:val="26"/>
        </w:numPr>
        <w:spacing w:after="60" w:line="240" w:lineRule="auto"/>
        <w:ind w:left="567" w:hanging="567"/>
        <w:contextualSpacing w:val="0"/>
        <w:jc w:val="left"/>
        <w:rPr>
          <w:rFonts w:ascii="Arial" w:hAnsi="Arial" w:cs="Arial"/>
          <w:szCs w:val="24"/>
        </w:rPr>
      </w:pPr>
      <w:r w:rsidRPr="00426161">
        <w:rPr>
          <w:rFonts w:ascii="Arial" w:hAnsi="Arial" w:cs="Arial"/>
          <w:szCs w:val="24"/>
        </w:rPr>
        <w:t>Section 11(1) allows sustainability measures (such as a TAC) to be set or varied after the following factors are taken into account:</w:t>
      </w:r>
    </w:p>
    <w:p w14:paraId="71A1C8CA" w14:textId="77777777" w:rsidR="00D979B1" w:rsidRPr="00426161" w:rsidRDefault="00D979B1" w:rsidP="00D979B1">
      <w:pPr>
        <w:numPr>
          <w:ilvl w:val="0"/>
          <w:numId w:val="14"/>
        </w:numPr>
        <w:ind w:left="1134" w:hanging="567"/>
        <w:contextualSpacing w:val="0"/>
        <w:rPr>
          <w:rFonts w:ascii="Arial" w:hAnsi="Arial" w:cs="Arial"/>
          <w:sz w:val="22"/>
          <w:szCs w:val="24"/>
        </w:rPr>
      </w:pPr>
      <w:r w:rsidRPr="00426161">
        <w:rPr>
          <w:rFonts w:ascii="Arial" w:hAnsi="Arial" w:cs="Arial"/>
          <w:sz w:val="22"/>
          <w:szCs w:val="24"/>
        </w:rPr>
        <w:t>Any effects of fishing on the stock and the aquatic environment;</w:t>
      </w:r>
    </w:p>
    <w:p w14:paraId="66A0EC89" w14:textId="77777777" w:rsidR="00D979B1" w:rsidRPr="00426161" w:rsidRDefault="00D979B1" w:rsidP="00D979B1">
      <w:pPr>
        <w:numPr>
          <w:ilvl w:val="0"/>
          <w:numId w:val="14"/>
        </w:numPr>
        <w:ind w:left="1134" w:hanging="567"/>
        <w:contextualSpacing w:val="0"/>
        <w:rPr>
          <w:rFonts w:ascii="Arial" w:hAnsi="Arial" w:cs="Arial"/>
          <w:sz w:val="22"/>
          <w:szCs w:val="24"/>
        </w:rPr>
      </w:pPr>
      <w:r w:rsidRPr="00426161">
        <w:rPr>
          <w:rFonts w:ascii="Arial" w:hAnsi="Arial" w:cs="Arial"/>
          <w:sz w:val="22"/>
          <w:szCs w:val="24"/>
        </w:rPr>
        <w:t>Any existing controls that apply to the stock or area concerned; and</w:t>
      </w:r>
    </w:p>
    <w:p w14:paraId="469F270D" w14:textId="77777777" w:rsidR="00D979B1" w:rsidRPr="00426161" w:rsidRDefault="00D979B1" w:rsidP="00D979B1">
      <w:pPr>
        <w:numPr>
          <w:ilvl w:val="0"/>
          <w:numId w:val="14"/>
        </w:numPr>
        <w:ind w:left="1134" w:hanging="567"/>
        <w:contextualSpacing w:val="0"/>
        <w:rPr>
          <w:rFonts w:ascii="Arial" w:hAnsi="Arial" w:cs="Arial"/>
          <w:sz w:val="22"/>
          <w:szCs w:val="24"/>
        </w:rPr>
      </w:pPr>
      <w:r w:rsidRPr="00426161">
        <w:rPr>
          <w:rFonts w:ascii="Arial" w:hAnsi="Arial" w:cs="Arial"/>
          <w:sz w:val="22"/>
          <w:szCs w:val="24"/>
        </w:rPr>
        <w:t>The natural variability of the stock concerned.</w:t>
      </w:r>
    </w:p>
    <w:p w14:paraId="62A9EB0C" w14:textId="77777777" w:rsidR="00D979B1" w:rsidRPr="00426161" w:rsidRDefault="00D979B1" w:rsidP="00D979B1">
      <w:pPr>
        <w:pStyle w:val="Style1"/>
        <w:numPr>
          <w:ilvl w:val="0"/>
          <w:numId w:val="0"/>
        </w:numPr>
        <w:spacing w:after="60" w:line="240" w:lineRule="auto"/>
        <w:contextualSpacing w:val="0"/>
        <w:rPr>
          <w:rFonts w:ascii="Arial" w:hAnsi="Arial" w:cs="Arial"/>
          <w:sz w:val="22"/>
        </w:rPr>
      </w:pPr>
    </w:p>
    <w:p w14:paraId="2BAB1695" w14:textId="77777777" w:rsidR="00D979B1" w:rsidRPr="00426161" w:rsidRDefault="00D979B1" w:rsidP="00F1422F">
      <w:pPr>
        <w:pStyle w:val="ListParagraph"/>
        <w:numPr>
          <w:ilvl w:val="0"/>
          <w:numId w:val="26"/>
        </w:numPr>
        <w:spacing w:after="60" w:line="240" w:lineRule="auto"/>
        <w:ind w:left="567" w:hanging="567"/>
        <w:contextualSpacing w:val="0"/>
        <w:jc w:val="left"/>
        <w:rPr>
          <w:rFonts w:ascii="Arial" w:hAnsi="Arial" w:cs="Arial"/>
          <w:szCs w:val="24"/>
        </w:rPr>
      </w:pPr>
      <w:r w:rsidRPr="00426161">
        <w:rPr>
          <w:rFonts w:ascii="Arial" w:hAnsi="Arial" w:cs="Arial"/>
          <w:szCs w:val="24"/>
        </w:rPr>
        <w:t>Section 11 (2) says that before any sustainability measure is set or varied the Minister must have regard to any provision of–</w:t>
      </w:r>
    </w:p>
    <w:p w14:paraId="5D8E2932" w14:textId="77777777" w:rsidR="00D979B1" w:rsidRPr="00426161" w:rsidRDefault="00D979B1" w:rsidP="00D979B1">
      <w:pPr>
        <w:numPr>
          <w:ilvl w:val="0"/>
          <w:numId w:val="15"/>
        </w:numPr>
        <w:ind w:left="1134" w:hanging="567"/>
        <w:contextualSpacing w:val="0"/>
        <w:rPr>
          <w:rFonts w:ascii="Arial" w:hAnsi="Arial" w:cs="Arial"/>
          <w:sz w:val="22"/>
          <w:szCs w:val="24"/>
        </w:rPr>
      </w:pPr>
      <w:r w:rsidRPr="00426161">
        <w:rPr>
          <w:rFonts w:ascii="Arial" w:hAnsi="Arial" w:cs="Arial"/>
          <w:sz w:val="22"/>
          <w:szCs w:val="24"/>
        </w:rPr>
        <w:t>Any regional policy statement, regional plan, or proposed regional plan under the Resource Management Act 1991;</w:t>
      </w:r>
    </w:p>
    <w:p w14:paraId="31CF3F8D" w14:textId="77777777" w:rsidR="00D979B1" w:rsidRPr="00426161" w:rsidRDefault="00D979B1" w:rsidP="00D979B1">
      <w:pPr>
        <w:numPr>
          <w:ilvl w:val="0"/>
          <w:numId w:val="15"/>
        </w:numPr>
        <w:ind w:left="1134" w:hanging="567"/>
        <w:contextualSpacing w:val="0"/>
        <w:rPr>
          <w:rFonts w:ascii="Arial" w:hAnsi="Arial" w:cs="Arial"/>
          <w:sz w:val="22"/>
          <w:szCs w:val="24"/>
        </w:rPr>
      </w:pPr>
      <w:r w:rsidRPr="00426161">
        <w:rPr>
          <w:rFonts w:ascii="Arial" w:hAnsi="Arial" w:cs="Arial"/>
          <w:sz w:val="22"/>
          <w:szCs w:val="24"/>
        </w:rPr>
        <w:t>Any management strategy or management plan under the Conservation Act 1987 that apply to the coastal marine area and which the Minister considers to be relevant;</w:t>
      </w:r>
    </w:p>
    <w:p w14:paraId="76C5DCA3" w14:textId="77777777" w:rsidR="00D979B1" w:rsidRPr="00426161" w:rsidRDefault="00D979B1" w:rsidP="00D979B1">
      <w:pPr>
        <w:numPr>
          <w:ilvl w:val="0"/>
          <w:numId w:val="15"/>
        </w:numPr>
        <w:ind w:left="1134" w:hanging="567"/>
        <w:contextualSpacing w:val="0"/>
        <w:rPr>
          <w:rFonts w:ascii="Arial" w:hAnsi="Arial" w:cs="Arial"/>
          <w:sz w:val="22"/>
          <w:szCs w:val="24"/>
        </w:rPr>
      </w:pPr>
      <w:r w:rsidRPr="00426161">
        <w:rPr>
          <w:rFonts w:ascii="Arial" w:hAnsi="Arial" w:cs="Arial"/>
          <w:sz w:val="22"/>
          <w:szCs w:val="24"/>
        </w:rPr>
        <w:t>Sections 7 and 8 of the Hauraki Gulf Marine Park Act 2000;</w:t>
      </w:r>
    </w:p>
    <w:p w14:paraId="1FAE3FF2" w14:textId="77777777" w:rsidR="00D979B1" w:rsidRPr="00426161" w:rsidRDefault="00D979B1" w:rsidP="00D979B1">
      <w:pPr>
        <w:ind w:left="1134" w:hanging="567"/>
        <w:rPr>
          <w:rFonts w:ascii="Arial" w:hAnsi="Arial" w:cs="Arial"/>
          <w:sz w:val="22"/>
          <w:szCs w:val="24"/>
        </w:rPr>
      </w:pPr>
      <w:r w:rsidRPr="00426161">
        <w:rPr>
          <w:rFonts w:ascii="Arial" w:hAnsi="Arial" w:cs="Arial"/>
          <w:sz w:val="22"/>
          <w:szCs w:val="24"/>
        </w:rPr>
        <w:t>ca)</w:t>
      </w:r>
      <w:r w:rsidRPr="00426161">
        <w:rPr>
          <w:rFonts w:ascii="Arial" w:hAnsi="Arial" w:cs="Arial"/>
          <w:sz w:val="22"/>
          <w:szCs w:val="24"/>
        </w:rPr>
        <w:tab/>
        <w:t>Regulations made under the Exclusive Economic Zone and Continental Shelf (Environmental Effects) Act 2012; and</w:t>
      </w:r>
    </w:p>
    <w:p w14:paraId="7AD7DB96" w14:textId="77777777" w:rsidR="00D979B1" w:rsidRPr="00426161" w:rsidRDefault="00D979B1" w:rsidP="00D979B1">
      <w:pPr>
        <w:numPr>
          <w:ilvl w:val="0"/>
          <w:numId w:val="15"/>
        </w:numPr>
        <w:ind w:left="1134" w:hanging="567"/>
        <w:contextualSpacing w:val="0"/>
        <w:rPr>
          <w:rFonts w:ascii="Arial" w:hAnsi="Arial" w:cs="Arial"/>
          <w:sz w:val="22"/>
          <w:szCs w:val="24"/>
        </w:rPr>
      </w:pPr>
      <w:r w:rsidRPr="00426161">
        <w:rPr>
          <w:rFonts w:ascii="Arial" w:hAnsi="Arial" w:cs="Arial"/>
          <w:sz w:val="22"/>
          <w:szCs w:val="24"/>
        </w:rPr>
        <w:t>A planning document lodged with the Minister of Fisheries by a customary marine title group under section 91 of the Marine and Coastal Area (Takutai Moana) Act 2011</w:t>
      </w:r>
      <w:r w:rsidRPr="00426161">
        <w:rPr>
          <w:rFonts w:ascii="Arial" w:hAnsi="Arial" w:cs="Arial"/>
          <w:sz w:val="22"/>
        </w:rPr>
        <w:t>–</w:t>
      </w:r>
    </w:p>
    <w:p w14:paraId="460FFDEE" w14:textId="77777777" w:rsidR="00D979B1" w:rsidRPr="00426161" w:rsidRDefault="00D979B1" w:rsidP="00D979B1">
      <w:pPr>
        <w:pStyle w:val="Style1"/>
        <w:numPr>
          <w:ilvl w:val="0"/>
          <w:numId w:val="0"/>
        </w:numPr>
        <w:spacing w:after="60" w:line="240" w:lineRule="auto"/>
        <w:ind w:left="567"/>
        <w:contextualSpacing w:val="0"/>
        <w:rPr>
          <w:rFonts w:ascii="Arial" w:hAnsi="Arial" w:cs="Arial"/>
          <w:sz w:val="22"/>
        </w:rPr>
      </w:pPr>
      <w:r w:rsidRPr="00426161">
        <w:rPr>
          <w:rFonts w:ascii="Arial" w:hAnsi="Arial" w:cs="Arial"/>
          <w:sz w:val="22"/>
        </w:rPr>
        <w:t>that apply to the coastal marine area and are considered to be relevant.</w:t>
      </w:r>
    </w:p>
    <w:p w14:paraId="6E8D77CA" w14:textId="77777777" w:rsidR="00D979B1" w:rsidRPr="00426161" w:rsidRDefault="00D979B1" w:rsidP="00D979B1">
      <w:pPr>
        <w:pStyle w:val="ListParagraph"/>
        <w:spacing w:after="60" w:line="240" w:lineRule="auto"/>
        <w:ind w:left="567"/>
        <w:contextualSpacing w:val="0"/>
        <w:jc w:val="left"/>
        <w:rPr>
          <w:rFonts w:ascii="Arial" w:hAnsi="Arial" w:cs="Arial"/>
          <w:szCs w:val="24"/>
        </w:rPr>
      </w:pPr>
    </w:p>
    <w:p w14:paraId="4439628A" w14:textId="77777777" w:rsidR="00D979B1" w:rsidRPr="00426161" w:rsidRDefault="00D979B1" w:rsidP="00F1422F">
      <w:pPr>
        <w:pStyle w:val="ListParagraph"/>
        <w:numPr>
          <w:ilvl w:val="0"/>
          <w:numId w:val="26"/>
        </w:numPr>
        <w:spacing w:after="60" w:line="240" w:lineRule="auto"/>
        <w:ind w:left="567" w:hanging="567"/>
        <w:contextualSpacing w:val="0"/>
        <w:jc w:val="left"/>
        <w:rPr>
          <w:rFonts w:ascii="Arial" w:hAnsi="Arial" w:cs="Arial"/>
          <w:szCs w:val="24"/>
        </w:rPr>
      </w:pPr>
      <w:r w:rsidRPr="00426161">
        <w:rPr>
          <w:rFonts w:ascii="Arial" w:hAnsi="Arial" w:cs="Arial"/>
          <w:szCs w:val="24"/>
        </w:rPr>
        <w:t>Section 11 (2A) requires the Minister</w:t>
      </w:r>
      <w:r w:rsidRPr="00426161" w:rsidDel="00C522B7">
        <w:rPr>
          <w:rFonts w:ascii="Arial" w:hAnsi="Arial" w:cs="Arial"/>
          <w:szCs w:val="24"/>
        </w:rPr>
        <w:t xml:space="preserve"> </w:t>
      </w:r>
      <w:r w:rsidRPr="00426161">
        <w:rPr>
          <w:rFonts w:ascii="Arial" w:hAnsi="Arial" w:cs="Arial"/>
          <w:szCs w:val="24"/>
        </w:rPr>
        <w:t>to take into account:</w:t>
      </w:r>
    </w:p>
    <w:p w14:paraId="6886202C" w14:textId="77777777" w:rsidR="00D979B1" w:rsidRPr="00426161" w:rsidRDefault="00D979B1" w:rsidP="00D979B1">
      <w:pPr>
        <w:numPr>
          <w:ilvl w:val="0"/>
          <w:numId w:val="16"/>
        </w:numPr>
        <w:ind w:left="1134" w:hanging="567"/>
        <w:contextualSpacing w:val="0"/>
        <w:rPr>
          <w:rFonts w:ascii="Arial" w:hAnsi="Arial" w:cs="Arial"/>
          <w:sz w:val="22"/>
          <w:szCs w:val="24"/>
        </w:rPr>
      </w:pPr>
      <w:r w:rsidRPr="00426161">
        <w:rPr>
          <w:rFonts w:ascii="Arial" w:hAnsi="Arial" w:cs="Arial"/>
          <w:sz w:val="22"/>
          <w:szCs w:val="24"/>
        </w:rPr>
        <w:t xml:space="preserve">Any conservation services or fisheries services; </w:t>
      </w:r>
    </w:p>
    <w:p w14:paraId="7C8D223B" w14:textId="77777777" w:rsidR="00D979B1" w:rsidRPr="00426161" w:rsidRDefault="00D979B1" w:rsidP="00D979B1">
      <w:pPr>
        <w:numPr>
          <w:ilvl w:val="0"/>
          <w:numId w:val="16"/>
        </w:numPr>
        <w:ind w:left="1134" w:hanging="567"/>
        <w:contextualSpacing w:val="0"/>
        <w:rPr>
          <w:rFonts w:ascii="Arial" w:hAnsi="Arial" w:cs="Arial"/>
          <w:sz w:val="22"/>
          <w:szCs w:val="24"/>
        </w:rPr>
      </w:pPr>
      <w:r w:rsidRPr="00426161">
        <w:rPr>
          <w:rFonts w:ascii="Arial" w:hAnsi="Arial" w:cs="Arial"/>
          <w:sz w:val="22"/>
          <w:szCs w:val="24"/>
        </w:rPr>
        <w:t>Any relevant fisheries plan approved under this Part (see discussion of section 11A below); and</w:t>
      </w:r>
    </w:p>
    <w:p w14:paraId="4D672100" w14:textId="77777777" w:rsidR="00D979B1" w:rsidRPr="00426161" w:rsidRDefault="00D979B1" w:rsidP="00D979B1">
      <w:pPr>
        <w:numPr>
          <w:ilvl w:val="0"/>
          <w:numId w:val="16"/>
        </w:numPr>
        <w:ind w:left="1134" w:hanging="567"/>
        <w:contextualSpacing w:val="0"/>
        <w:rPr>
          <w:rFonts w:ascii="Arial" w:hAnsi="Arial" w:cs="Arial"/>
          <w:sz w:val="22"/>
          <w:szCs w:val="24"/>
        </w:rPr>
      </w:pPr>
      <w:r w:rsidRPr="00426161">
        <w:rPr>
          <w:rFonts w:ascii="Arial" w:hAnsi="Arial" w:cs="Arial"/>
          <w:sz w:val="22"/>
          <w:szCs w:val="24"/>
        </w:rPr>
        <w:t>Any decisions not to require conservation services or fisheries services.</w:t>
      </w:r>
    </w:p>
    <w:p w14:paraId="0869E8AD" w14:textId="77777777" w:rsidR="00D979B1" w:rsidRPr="00426161" w:rsidRDefault="00D979B1" w:rsidP="00D979B1">
      <w:pPr>
        <w:pStyle w:val="Style1"/>
        <w:numPr>
          <w:ilvl w:val="0"/>
          <w:numId w:val="0"/>
        </w:numPr>
        <w:spacing w:line="240" w:lineRule="auto"/>
        <w:ind w:left="1080"/>
        <w:contextualSpacing w:val="0"/>
        <w:rPr>
          <w:rFonts w:ascii="Arial" w:hAnsi="Arial" w:cs="Arial"/>
          <w:sz w:val="22"/>
        </w:rPr>
      </w:pPr>
    </w:p>
    <w:p w14:paraId="620FE8FF" w14:textId="77777777" w:rsidR="00D979B1" w:rsidRPr="00426161" w:rsidRDefault="00D979B1" w:rsidP="005C1CE5">
      <w:pPr>
        <w:pStyle w:val="ListParagraph"/>
        <w:numPr>
          <w:ilvl w:val="0"/>
          <w:numId w:val="26"/>
        </w:numPr>
        <w:spacing w:after="0" w:line="240" w:lineRule="auto"/>
        <w:ind w:left="567" w:hanging="567"/>
        <w:contextualSpacing w:val="0"/>
        <w:jc w:val="left"/>
        <w:rPr>
          <w:rFonts w:ascii="Arial" w:hAnsi="Arial" w:cs="Arial"/>
          <w:szCs w:val="24"/>
        </w:rPr>
      </w:pPr>
      <w:r w:rsidRPr="00426161">
        <w:rPr>
          <w:rFonts w:ascii="Arial" w:hAnsi="Arial" w:cs="Arial"/>
          <w:szCs w:val="24"/>
        </w:rPr>
        <w:t>Services of particular relevance to this paper relate to programmed research used to monitor stock abundance. To date, national fisheries plans have been approved only for deepwater and highly migratory species.</w:t>
      </w:r>
    </w:p>
    <w:p w14:paraId="176A68AA" w14:textId="77777777" w:rsidR="00D979B1" w:rsidRPr="00183A9D" w:rsidRDefault="00D979B1" w:rsidP="00D979B1">
      <w:pPr>
        <w:rPr>
          <w:rFonts w:ascii="Arial" w:hAnsi="Arial" w:cs="Arial"/>
        </w:rPr>
      </w:pPr>
    </w:p>
    <w:p w14:paraId="683DF60E" w14:textId="77777777" w:rsidR="00D979B1" w:rsidRPr="00D57F9F" w:rsidRDefault="00D979B1" w:rsidP="00F1422F">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rPr>
        <w:t xml:space="preserve">With respect to natural variability of rock lobster stocks, </w:t>
      </w:r>
      <w:r w:rsidRPr="00D57F9F">
        <w:rPr>
          <w:rFonts w:ascii="Arial" w:hAnsi="Arial" w:cs="Arial"/>
          <w:szCs w:val="20"/>
        </w:rPr>
        <w:t>a variety of environmental factors are thought to influence the productivity of rock lobster populations including water temperature, ocean currents, latitude, shelter availability, and food availability. Studies have shown that lobsters grow at different rates around New Zealand and female lobsters become mature at different sizes. The development of management procedures for the rock lobster stocks discussed in this paper take into account variability in growth, maturity, available abundance, and recruitment.</w:t>
      </w:r>
    </w:p>
    <w:p w14:paraId="2C156F0C" w14:textId="77777777" w:rsidR="00D979B1" w:rsidRPr="005C1CE5" w:rsidRDefault="00D979B1" w:rsidP="00D979B1">
      <w:pPr>
        <w:pStyle w:val="Style1"/>
        <w:numPr>
          <w:ilvl w:val="0"/>
          <w:numId w:val="0"/>
        </w:numPr>
        <w:spacing w:after="60" w:line="240" w:lineRule="auto"/>
        <w:contextualSpacing w:val="0"/>
        <w:rPr>
          <w:rFonts w:ascii="Arial" w:hAnsi="Arial" w:cs="Arial"/>
          <w:sz w:val="22"/>
          <w:szCs w:val="22"/>
        </w:rPr>
      </w:pPr>
    </w:p>
    <w:p w14:paraId="4D51F1C8" w14:textId="25AAA985" w:rsidR="00D979B1" w:rsidRPr="002464F2" w:rsidRDefault="00D979B1" w:rsidP="009D1C04">
      <w:pPr>
        <w:pStyle w:val="Heading2"/>
        <w:numPr>
          <w:ilvl w:val="0"/>
          <w:numId w:val="0"/>
        </w:numPr>
      </w:pPr>
      <w:bookmarkStart w:id="154" w:name="_Toc531692811"/>
      <w:bookmarkStart w:id="155" w:name="_Toc532471909"/>
      <w:r>
        <w:t xml:space="preserve">Section 12 – </w:t>
      </w:r>
      <w:r w:rsidR="005467BA">
        <w:t>C</w:t>
      </w:r>
      <w:r w:rsidRPr="002464F2">
        <w:t>onsultation</w:t>
      </w:r>
      <w:r>
        <w:t xml:space="preserve"> and </w:t>
      </w:r>
      <w:r w:rsidR="005467BA">
        <w:t>Input and P</w:t>
      </w:r>
      <w:r w:rsidRPr="002464F2">
        <w:t xml:space="preserve">articipation of </w:t>
      </w:r>
      <w:r w:rsidR="005467BA">
        <w:t>Tangata W</w:t>
      </w:r>
      <w:r w:rsidRPr="002464F2">
        <w:t>henua</w:t>
      </w:r>
      <w:bookmarkEnd w:id="154"/>
      <w:bookmarkEnd w:id="155"/>
    </w:p>
    <w:p w14:paraId="5BB55800" w14:textId="77777777" w:rsidR="00D979B1" w:rsidRPr="00426161" w:rsidRDefault="00D979B1" w:rsidP="005C1CE5">
      <w:pPr>
        <w:pStyle w:val="ListParagraph"/>
        <w:numPr>
          <w:ilvl w:val="0"/>
          <w:numId w:val="26"/>
        </w:numPr>
        <w:spacing w:after="60" w:line="240" w:lineRule="auto"/>
        <w:ind w:left="567" w:hanging="567"/>
        <w:contextualSpacing w:val="0"/>
        <w:jc w:val="left"/>
        <w:rPr>
          <w:rFonts w:ascii="Arial" w:hAnsi="Arial" w:cs="Arial"/>
          <w:szCs w:val="24"/>
        </w:rPr>
      </w:pPr>
      <w:r w:rsidRPr="00426161">
        <w:rPr>
          <w:rFonts w:ascii="Arial" w:hAnsi="Arial" w:cs="Arial"/>
          <w:szCs w:val="24"/>
        </w:rPr>
        <w:t>Section 12(1) says that before setting or varying any sustainability measure under the Act the Minister is required to:</w:t>
      </w:r>
    </w:p>
    <w:p w14:paraId="56FDE9BD" w14:textId="77777777" w:rsidR="00D979B1" w:rsidRPr="00426161" w:rsidRDefault="00D979B1" w:rsidP="005C1CE5">
      <w:pPr>
        <w:pStyle w:val="ListParagraph"/>
        <w:numPr>
          <w:ilvl w:val="0"/>
          <w:numId w:val="11"/>
        </w:numPr>
        <w:spacing w:after="60" w:line="240" w:lineRule="auto"/>
        <w:ind w:left="1134" w:hanging="567"/>
        <w:contextualSpacing w:val="0"/>
        <w:jc w:val="left"/>
        <w:rPr>
          <w:rFonts w:ascii="Arial" w:hAnsi="Arial" w:cs="Arial"/>
          <w:szCs w:val="24"/>
        </w:rPr>
      </w:pPr>
      <w:r w:rsidRPr="00426161">
        <w:rPr>
          <w:rFonts w:ascii="Arial" w:hAnsi="Arial" w:cs="Arial"/>
          <w:szCs w:val="24"/>
        </w:rPr>
        <w:t>Consult with those classes of persons having an interest in the stock or the effects of fishing on the aquatic environment in the area concerned, including, but not limited to, Māori, environmental, commercial and recreational interests; and</w:t>
      </w:r>
    </w:p>
    <w:p w14:paraId="65FCED85" w14:textId="77777777" w:rsidR="00D979B1" w:rsidRPr="00426161" w:rsidRDefault="00D979B1" w:rsidP="00D979B1">
      <w:pPr>
        <w:pStyle w:val="ListParagraph"/>
        <w:numPr>
          <w:ilvl w:val="0"/>
          <w:numId w:val="11"/>
        </w:numPr>
        <w:spacing w:after="0" w:line="240" w:lineRule="auto"/>
        <w:ind w:left="1134" w:hanging="567"/>
        <w:contextualSpacing w:val="0"/>
        <w:jc w:val="left"/>
        <w:rPr>
          <w:rFonts w:ascii="Arial" w:hAnsi="Arial" w:cs="Arial"/>
          <w:szCs w:val="24"/>
        </w:rPr>
      </w:pPr>
      <w:r w:rsidRPr="00426161">
        <w:rPr>
          <w:rFonts w:ascii="Arial" w:hAnsi="Arial" w:cs="Arial"/>
          <w:szCs w:val="24"/>
        </w:rPr>
        <w:t xml:space="preserve">Provide for the input and participation of tangata whenua having a non-commercial interest in the stock concerned or an interest in the effects of fishing </w:t>
      </w:r>
      <w:r w:rsidRPr="00426161">
        <w:rPr>
          <w:rFonts w:ascii="Arial" w:hAnsi="Arial" w:cs="Arial"/>
          <w:szCs w:val="24"/>
        </w:rPr>
        <w:lastRenderedPageBreak/>
        <w:t>on the aquatic environment in the area concerned; and have particular regard to kaitiakitanga.</w:t>
      </w:r>
    </w:p>
    <w:p w14:paraId="3330FCCE" w14:textId="77777777" w:rsidR="00D979B1" w:rsidRPr="00426161" w:rsidRDefault="00D979B1" w:rsidP="00D979B1">
      <w:pPr>
        <w:pStyle w:val="ListParagraph"/>
        <w:spacing w:after="0" w:line="240" w:lineRule="auto"/>
        <w:ind w:left="567" w:hanging="567"/>
        <w:contextualSpacing w:val="0"/>
        <w:rPr>
          <w:rFonts w:ascii="Arial" w:hAnsi="Arial" w:cs="Arial"/>
          <w:szCs w:val="24"/>
        </w:rPr>
      </w:pPr>
    </w:p>
    <w:p w14:paraId="795F3D7B" w14:textId="3F121495" w:rsidR="00D979B1" w:rsidRDefault="00966DD6" w:rsidP="00F1422F">
      <w:pPr>
        <w:pStyle w:val="ListParagraph"/>
        <w:numPr>
          <w:ilvl w:val="0"/>
          <w:numId w:val="26"/>
        </w:numPr>
        <w:spacing w:after="0" w:line="240" w:lineRule="auto"/>
        <w:ind w:left="567" w:hanging="567"/>
        <w:contextualSpacing w:val="0"/>
        <w:jc w:val="left"/>
        <w:rPr>
          <w:rFonts w:ascii="Arial" w:hAnsi="Arial" w:cs="Arial"/>
          <w:szCs w:val="24"/>
        </w:rPr>
      </w:pPr>
      <w:r>
        <w:rPr>
          <w:rFonts w:ascii="Arial" w:hAnsi="Arial" w:cs="Arial"/>
          <w:szCs w:val="24"/>
        </w:rPr>
        <w:t>The Act defines k</w:t>
      </w:r>
      <w:r w:rsidR="00D979B1" w:rsidRPr="00426161">
        <w:rPr>
          <w:rFonts w:ascii="Arial" w:hAnsi="Arial" w:cs="Arial"/>
          <w:szCs w:val="24"/>
        </w:rPr>
        <w:t>aitiakitanga to mean “the exercise of guardianship; and, in relation to any fisheries resources, includes the ethic of stewardship based on the nature of the resources, as exercised by the appropriate tangata whenua in accordance with tikanga Māori”, where tikanga Māori refers to Māori customary values and practices.</w:t>
      </w:r>
    </w:p>
    <w:p w14:paraId="6CEEB77C" w14:textId="77777777" w:rsidR="002A374F" w:rsidRPr="00966DD6" w:rsidRDefault="002A374F" w:rsidP="002A374F">
      <w:pPr>
        <w:contextualSpacing w:val="0"/>
        <w:rPr>
          <w:rFonts w:ascii="Arial" w:hAnsi="Arial" w:cs="Arial"/>
          <w:sz w:val="22"/>
          <w:szCs w:val="22"/>
        </w:rPr>
      </w:pPr>
    </w:p>
    <w:p w14:paraId="0D1C37E6" w14:textId="6032F1BE" w:rsidR="002A374F" w:rsidRDefault="00966DD6" w:rsidP="002A374F">
      <w:pPr>
        <w:pStyle w:val="ListParagraph"/>
        <w:numPr>
          <w:ilvl w:val="0"/>
          <w:numId w:val="30"/>
        </w:numPr>
        <w:spacing w:after="0" w:line="240" w:lineRule="auto"/>
        <w:ind w:left="567" w:hanging="567"/>
        <w:jc w:val="left"/>
        <w:rPr>
          <w:rFonts w:ascii="Arial" w:hAnsi="Arial" w:cs="Arial"/>
          <w:color w:val="000000" w:themeColor="text1"/>
        </w:rPr>
      </w:pPr>
      <w:r w:rsidRPr="00426161">
        <w:rPr>
          <w:rFonts w:ascii="Arial" w:hAnsi="Arial" w:cs="Arial"/>
          <w:szCs w:val="24"/>
        </w:rPr>
        <w:t xml:space="preserve">Iwi Fisheries Forums and Forum Fisheries Plans </w:t>
      </w:r>
      <w:r w:rsidR="002A374F" w:rsidRPr="000B64D2">
        <w:rPr>
          <w:rFonts w:ascii="Arial" w:hAnsi="Arial" w:cs="Arial"/>
          <w:color w:val="000000" w:themeColor="text1"/>
        </w:rPr>
        <w:t>provide a view of the objectives and outcomes iwi seek from the management of the fishery and can provide an indication of how iwi exercise kaitiakitanga over fisheries resources. Iwi views fro</w:t>
      </w:r>
      <w:r w:rsidR="002A374F" w:rsidRPr="007F73C2">
        <w:rPr>
          <w:rFonts w:ascii="Arial" w:hAnsi="Arial" w:cs="Arial"/>
          <w:color w:val="000000" w:themeColor="text1"/>
        </w:rPr>
        <w:t>m Forum meetings and submissions received from iwi can also provide an indication.</w:t>
      </w:r>
    </w:p>
    <w:p w14:paraId="78776F1D" w14:textId="1D09C6EA" w:rsidR="002A374F" w:rsidRDefault="002A374F" w:rsidP="002A374F">
      <w:pPr>
        <w:pStyle w:val="ListParagraph"/>
        <w:rPr>
          <w:rFonts w:ascii="Arial" w:hAnsi="Arial" w:cs="Arial"/>
          <w:szCs w:val="24"/>
        </w:rPr>
      </w:pPr>
    </w:p>
    <w:p w14:paraId="7A4DEC2D" w14:textId="4C5A9E92" w:rsidR="00966DD6" w:rsidRPr="00966DD6" w:rsidRDefault="00E22B6D" w:rsidP="00966DD6">
      <w:pPr>
        <w:pStyle w:val="ListParagraph"/>
        <w:spacing w:after="120" w:line="240" w:lineRule="auto"/>
        <w:ind w:left="567" w:hanging="567"/>
        <w:contextualSpacing w:val="0"/>
        <w:rPr>
          <w:rFonts w:ascii="Arial Narrow" w:eastAsiaTheme="majorEastAsia" w:hAnsi="Arial Narrow" w:cstheme="majorBidi"/>
          <w:b/>
          <w:sz w:val="24"/>
          <w:szCs w:val="24"/>
        </w:rPr>
      </w:pPr>
      <w:r>
        <w:rPr>
          <w:rFonts w:ascii="Arial Narrow" w:eastAsiaTheme="majorEastAsia" w:hAnsi="Arial Narrow" w:cstheme="majorBidi"/>
          <w:b/>
          <w:sz w:val="24"/>
          <w:szCs w:val="24"/>
        </w:rPr>
        <w:t xml:space="preserve">Input and participation to </w:t>
      </w:r>
      <w:r w:rsidRPr="00E22B6D">
        <w:rPr>
          <w:rFonts w:ascii="Arial Narrow" w:eastAsiaTheme="majorEastAsia" w:hAnsi="Arial Narrow" w:cstheme="majorBidi"/>
          <w:b/>
          <w:sz w:val="24"/>
          <w:szCs w:val="24"/>
        </w:rPr>
        <w:t>National Rock Lobster Management Group</w:t>
      </w:r>
      <w:r w:rsidR="00966DD6">
        <w:rPr>
          <w:rFonts w:ascii="Arial Narrow" w:eastAsiaTheme="majorEastAsia" w:hAnsi="Arial Narrow" w:cstheme="majorBidi"/>
          <w:b/>
          <w:sz w:val="24"/>
          <w:szCs w:val="24"/>
        </w:rPr>
        <w:t xml:space="preserve"> meetings</w:t>
      </w:r>
    </w:p>
    <w:p w14:paraId="1540A21A" w14:textId="7B3665BA" w:rsidR="002A374F" w:rsidRDefault="002A374F" w:rsidP="002A374F">
      <w:pPr>
        <w:pStyle w:val="ListParagraph"/>
        <w:numPr>
          <w:ilvl w:val="0"/>
          <w:numId w:val="26"/>
        </w:numPr>
        <w:spacing w:after="0" w:line="240" w:lineRule="auto"/>
        <w:ind w:left="567" w:hanging="567"/>
        <w:contextualSpacing w:val="0"/>
        <w:jc w:val="left"/>
        <w:rPr>
          <w:rFonts w:ascii="Arial" w:hAnsi="Arial" w:cs="Arial"/>
          <w:szCs w:val="24"/>
        </w:rPr>
      </w:pPr>
      <w:r>
        <w:rPr>
          <w:rFonts w:ascii="Arial" w:hAnsi="Arial" w:cs="Arial"/>
          <w:szCs w:val="24"/>
        </w:rPr>
        <w:t>A</w:t>
      </w:r>
      <w:r w:rsidRPr="00D57F9F">
        <w:rPr>
          <w:rFonts w:ascii="Arial" w:hAnsi="Arial" w:cs="Arial"/>
          <w:szCs w:val="24"/>
        </w:rPr>
        <w:t xml:space="preserve"> Te Waka a Māui me Ōna Toka Iwi Forum representative</w:t>
      </w:r>
      <w:r w:rsidR="00966DD6">
        <w:rPr>
          <w:rFonts w:ascii="Arial" w:hAnsi="Arial" w:cs="Arial"/>
          <w:szCs w:val="24"/>
        </w:rPr>
        <w:t xml:space="preserve"> (from the iwi forum that covers the South Island)</w:t>
      </w:r>
      <w:r w:rsidR="00E22B6D">
        <w:rPr>
          <w:rFonts w:ascii="Arial" w:hAnsi="Arial" w:cs="Arial"/>
          <w:szCs w:val="24"/>
        </w:rPr>
        <w:t xml:space="preserve"> is a member of the </w:t>
      </w:r>
      <w:r w:rsidR="00E22B6D" w:rsidRPr="00CE29B5">
        <w:rPr>
          <w:rFonts w:ascii="Arial" w:hAnsi="Arial" w:cs="Arial"/>
        </w:rPr>
        <w:t>N</w:t>
      </w:r>
      <w:r w:rsidR="00E22B6D">
        <w:rPr>
          <w:rFonts w:ascii="Arial" w:hAnsi="Arial" w:cs="Arial"/>
        </w:rPr>
        <w:t xml:space="preserve">ational </w:t>
      </w:r>
      <w:r w:rsidR="00E22B6D" w:rsidRPr="00CE29B5">
        <w:rPr>
          <w:rFonts w:ascii="Arial" w:hAnsi="Arial" w:cs="Arial"/>
        </w:rPr>
        <w:t>R</w:t>
      </w:r>
      <w:r w:rsidR="00E22B6D">
        <w:rPr>
          <w:rFonts w:ascii="Arial" w:hAnsi="Arial" w:cs="Arial"/>
        </w:rPr>
        <w:t xml:space="preserve">ock </w:t>
      </w:r>
      <w:r w:rsidR="00E22B6D" w:rsidRPr="00CE29B5">
        <w:rPr>
          <w:rFonts w:ascii="Arial" w:hAnsi="Arial" w:cs="Arial"/>
        </w:rPr>
        <w:t>L</w:t>
      </w:r>
      <w:r w:rsidR="00E22B6D">
        <w:rPr>
          <w:rFonts w:ascii="Arial" w:hAnsi="Arial" w:cs="Arial"/>
        </w:rPr>
        <w:t xml:space="preserve">obster </w:t>
      </w:r>
      <w:r w:rsidR="00E22B6D" w:rsidRPr="00CE29B5">
        <w:rPr>
          <w:rFonts w:ascii="Arial" w:hAnsi="Arial" w:cs="Arial"/>
        </w:rPr>
        <w:t>M</w:t>
      </w:r>
      <w:r w:rsidR="00E22B6D">
        <w:rPr>
          <w:rFonts w:ascii="Arial" w:hAnsi="Arial" w:cs="Arial"/>
        </w:rPr>
        <w:t xml:space="preserve">anagement </w:t>
      </w:r>
      <w:r w:rsidR="00E22B6D" w:rsidRPr="00CE29B5">
        <w:rPr>
          <w:rFonts w:ascii="Arial" w:hAnsi="Arial" w:cs="Arial"/>
        </w:rPr>
        <w:t>G</w:t>
      </w:r>
      <w:r w:rsidR="00E22B6D">
        <w:rPr>
          <w:rFonts w:ascii="Arial" w:hAnsi="Arial" w:cs="Arial"/>
        </w:rPr>
        <w:t>roup</w:t>
      </w:r>
      <w:r w:rsidRPr="00D57F9F">
        <w:rPr>
          <w:rFonts w:ascii="Arial" w:hAnsi="Arial" w:cs="Arial"/>
          <w:szCs w:val="24"/>
        </w:rPr>
        <w:t xml:space="preserve"> who directly inputs into decision-making on behalf of South Island tangata whenua. </w:t>
      </w:r>
      <w:r>
        <w:rPr>
          <w:rFonts w:ascii="Arial" w:hAnsi="Arial" w:cs="Arial"/>
          <w:szCs w:val="24"/>
        </w:rPr>
        <w:t xml:space="preserve">A representative of Te Ohu Kaimoana is also </w:t>
      </w:r>
      <w:r w:rsidRPr="00D57F9F">
        <w:rPr>
          <w:rFonts w:ascii="Arial" w:hAnsi="Arial" w:cs="Arial"/>
          <w:szCs w:val="24"/>
        </w:rPr>
        <w:t xml:space="preserve">is a member of the </w:t>
      </w:r>
      <w:r w:rsidR="00E22B6D" w:rsidRPr="00CE29B5">
        <w:rPr>
          <w:rFonts w:ascii="Arial" w:hAnsi="Arial" w:cs="Arial"/>
        </w:rPr>
        <w:t>N</w:t>
      </w:r>
      <w:r w:rsidR="00E22B6D">
        <w:rPr>
          <w:rFonts w:ascii="Arial" w:hAnsi="Arial" w:cs="Arial"/>
        </w:rPr>
        <w:t xml:space="preserve">ational </w:t>
      </w:r>
      <w:r w:rsidR="00E22B6D" w:rsidRPr="00CE29B5">
        <w:rPr>
          <w:rFonts w:ascii="Arial" w:hAnsi="Arial" w:cs="Arial"/>
        </w:rPr>
        <w:t>R</w:t>
      </w:r>
      <w:r w:rsidR="00E22B6D">
        <w:rPr>
          <w:rFonts w:ascii="Arial" w:hAnsi="Arial" w:cs="Arial"/>
        </w:rPr>
        <w:t xml:space="preserve">ock </w:t>
      </w:r>
      <w:r w:rsidR="00E22B6D" w:rsidRPr="00CE29B5">
        <w:rPr>
          <w:rFonts w:ascii="Arial" w:hAnsi="Arial" w:cs="Arial"/>
        </w:rPr>
        <w:t>L</w:t>
      </w:r>
      <w:r w:rsidR="00E22B6D">
        <w:rPr>
          <w:rFonts w:ascii="Arial" w:hAnsi="Arial" w:cs="Arial"/>
        </w:rPr>
        <w:t xml:space="preserve">obster </w:t>
      </w:r>
      <w:r w:rsidR="00E22B6D" w:rsidRPr="00CE29B5">
        <w:rPr>
          <w:rFonts w:ascii="Arial" w:hAnsi="Arial" w:cs="Arial"/>
        </w:rPr>
        <w:t>M</w:t>
      </w:r>
      <w:r w:rsidR="00E22B6D">
        <w:rPr>
          <w:rFonts w:ascii="Arial" w:hAnsi="Arial" w:cs="Arial"/>
        </w:rPr>
        <w:t xml:space="preserve">anagement </w:t>
      </w:r>
      <w:r w:rsidR="00E22B6D" w:rsidRPr="00CE29B5">
        <w:rPr>
          <w:rFonts w:ascii="Arial" w:hAnsi="Arial" w:cs="Arial"/>
        </w:rPr>
        <w:t>G</w:t>
      </w:r>
      <w:r w:rsidR="00E22B6D">
        <w:rPr>
          <w:rFonts w:ascii="Arial" w:hAnsi="Arial" w:cs="Arial"/>
        </w:rPr>
        <w:t>roup</w:t>
      </w:r>
      <w:r w:rsidR="00966DD6">
        <w:rPr>
          <w:rFonts w:ascii="Arial" w:hAnsi="Arial" w:cs="Arial"/>
          <w:szCs w:val="24"/>
        </w:rPr>
        <w:t>, who support</w:t>
      </w:r>
      <w:r w:rsidR="00966DD6" w:rsidRPr="00966DD6">
        <w:rPr>
          <w:rFonts w:ascii="Arial" w:hAnsi="Arial" w:cs="Arial"/>
          <w:szCs w:val="24"/>
        </w:rPr>
        <w:t xml:space="preserve"> relevant iwi to provide feedback on rock lobster proposals each year.</w:t>
      </w:r>
    </w:p>
    <w:p w14:paraId="574016FA" w14:textId="77777777" w:rsidR="00966DD6" w:rsidRDefault="00966DD6" w:rsidP="00966DD6">
      <w:pPr>
        <w:pStyle w:val="ListParagraph"/>
        <w:spacing w:after="0" w:line="240" w:lineRule="auto"/>
        <w:ind w:left="567"/>
        <w:contextualSpacing w:val="0"/>
        <w:jc w:val="left"/>
        <w:rPr>
          <w:rFonts w:ascii="Arial" w:hAnsi="Arial" w:cs="Arial"/>
          <w:szCs w:val="24"/>
        </w:rPr>
      </w:pPr>
    </w:p>
    <w:p w14:paraId="187A96D3" w14:textId="77777777" w:rsidR="00966DD6" w:rsidRPr="00966DD6" w:rsidRDefault="00966DD6" w:rsidP="00966DD6">
      <w:pPr>
        <w:pStyle w:val="ListParagraph"/>
        <w:spacing w:after="120" w:line="240" w:lineRule="auto"/>
        <w:ind w:left="567" w:hanging="567"/>
        <w:contextualSpacing w:val="0"/>
        <w:rPr>
          <w:rFonts w:ascii="Arial Narrow" w:eastAsiaTheme="majorEastAsia" w:hAnsi="Arial Narrow" w:cstheme="majorBidi"/>
          <w:b/>
          <w:sz w:val="24"/>
          <w:szCs w:val="24"/>
        </w:rPr>
      </w:pPr>
      <w:r w:rsidRPr="00966DD6">
        <w:rPr>
          <w:rFonts w:ascii="Arial Narrow" w:eastAsiaTheme="majorEastAsia" w:hAnsi="Arial Narrow" w:cstheme="majorBidi"/>
          <w:b/>
          <w:sz w:val="24"/>
          <w:szCs w:val="24"/>
        </w:rPr>
        <w:t>The CRA 3 and CRA 4 proposals</w:t>
      </w:r>
    </w:p>
    <w:p w14:paraId="2B9F3F3A" w14:textId="3222D39F" w:rsidR="002A374F" w:rsidRDefault="002A374F" w:rsidP="002A374F">
      <w:pPr>
        <w:pStyle w:val="ListParagraph"/>
        <w:numPr>
          <w:ilvl w:val="0"/>
          <w:numId w:val="26"/>
        </w:numPr>
        <w:spacing w:after="0" w:line="240" w:lineRule="auto"/>
        <w:ind w:left="567" w:hanging="567"/>
        <w:contextualSpacing w:val="0"/>
        <w:jc w:val="left"/>
        <w:rPr>
          <w:rFonts w:ascii="Arial" w:hAnsi="Arial" w:cs="Arial"/>
          <w:szCs w:val="24"/>
        </w:rPr>
      </w:pPr>
      <w:r w:rsidRPr="009672B7">
        <w:rPr>
          <w:rFonts w:ascii="Arial" w:hAnsi="Arial" w:cs="Arial"/>
          <w:szCs w:val="24"/>
        </w:rPr>
        <w:t xml:space="preserve">The proposals to consult on CRA 3 and CRA 4 were presented </w:t>
      </w:r>
      <w:r>
        <w:rPr>
          <w:rFonts w:ascii="Arial" w:hAnsi="Arial" w:cs="Arial"/>
          <w:szCs w:val="24"/>
        </w:rPr>
        <w:t>at a</w:t>
      </w:r>
      <w:r w:rsidRPr="009672B7">
        <w:rPr>
          <w:rFonts w:ascii="Arial" w:hAnsi="Arial" w:cs="Arial"/>
          <w:szCs w:val="24"/>
        </w:rPr>
        <w:t xml:space="preserve"> multi-sector meeting on 29 November </w:t>
      </w:r>
      <w:r w:rsidR="000E6DD8">
        <w:rPr>
          <w:rFonts w:ascii="Arial" w:hAnsi="Arial" w:cs="Arial"/>
          <w:szCs w:val="24"/>
        </w:rPr>
        <w:t xml:space="preserve">2018 </w:t>
      </w:r>
      <w:r w:rsidRPr="009672B7">
        <w:rPr>
          <w:rFonts w:ascii="Arial" w:hAnsi="Arial" w:cs="Arial"/>
          <w:szCs w:val="24"/>
        </w:rPr>
        <w:t>in Napier where research ideas were being discussed for various species. This meeting included tangata whenua representatives from Mahia to Wairarapa. No concerns were expressed about the proposals</w:t>
      </w:r>
      <w:r>
        <w:rPr>
          <w:rFonts w:ascii="Arial" w:hAnsi="Arial" w:cs="Arial"/>
          <w:szCs w:val="24"/>
        </w:rPr>
        <w:t>.</w:t>
      </w:r>
    </w:p>
    <w:p w14:paraId="50BE51A8" w14:textId="77777777" w:rsidR="00966DD6" w:rsidRPr="009672B7" w:rsidRDefault="00966DD6" w:rsidP="00966DD6">
      <w:pPr>
        <w:pStyle w:val="ListParagraph"/>
        <w:spacing w:after="0" w:line="240" w:lineRule="auto"/>
        <w:ind w:left="567"/>
        <w:contextualSpacing w:val="0"/>
        <w:jc w:val="left"/>
        <w:rPr>
          <w:rFonts w:ascii="Arial" w:hAnsi="Arial" w:cs="Arial"/>
          <w:szCs w:val="24"/>
        </w:rPr>
      </w:pPr>
    </w:p>
    <w:p w14:paraId="7607A0F4" w14:textId="374EAC6D" w:rsidR="002A374F" w:rsidRDefault="002A374F" w:rsidP="002A374F">
      <w:pPr>
        <w:pStyle w:val="ListParagraph"/>
        <w:numPr>
          <w:ilvl w:val="0"/>
          <w:numId w:val="26"/>
        </w:numPr>
        <w:spacing w:after="0" w:line="240" w:lineRule="auto"/>
        <w:ind w:left="567" w:hanging="567"/>
        <w:contextualSpacing w:val="0"/>
        <w:jc w:val="left"/>
        <w:rPr>
          <w:rFonts w:ascii="Arial" w:hAnsi="Arial" w:cs="Arial"/>
          <w:szCs w:val="24"/>
        </w:rPr>
      </w:pPr>
      <w:r w:rsidRPr="00D57F9F">
        <w:rPr>
          <w:rFonts w:ascii="Arial" w:hAnsi="Arial" w:cs="Arial"/>
          <w:szCs w:val="24"/>
        </w:rPr>
        <w:t xml:space="preserve">The proposal to consult on CRA 4 was </w:t>
      </w:r>
      <w:r>
        <w:rPr>
          <w:rFonts w:ascii="Arial" w:hAnsi="Arial" w:cs="Arial"/>
          <w:szCs w:val="24"/>
        </w:rPr>
        <w:t xml:space="preserve">also </w:t>
      </w:r>
      <w:r w:rsidRPr="00D57F9F">
        <w:rPr>
          <w:rFonts w:ascii="Arial" w:hAnsi="Arial" w:cs="Arial"/>
          <w:szCs w:val="24"/>
        </w:rPr>
        <w:t>pre</w:t>
      </w:r>
      <w:r w:rsidR="00AE2F0E">
        <w:rPr>
          <w:rFonts w:ascii="Arial" w:hAnsi="Arial" w:cs="Arial"/>
          <w:szCs w:val="24"/>
        </w:rPr>
        <w:t>sented to Te Taihauauru Iwi</w:t>
      </w:r>
      <w:r w:rsidRPr="00D57F9F">
        <w:rPr>
          <w:rFonts w:ascii="Arial" w:hAnsi="Arial" w:cs="Arial"/>
          <w:szCs w:val="24"/>
        </w:rPr>
        <w:t xml:space="preserve"> Fisheries Forum </w:t>
      </w:r>
      <w:r>
        <w:rPr>
          <w:rFonts w:ascii="Arial" w:hAnsi="Arial" w:cs="Arial"/>
          <w:szCs w:val="24"/>
        </w:rPr>
        <w:t>on 16</w:t>
      </w:r>
      <w:r w:rsidRPr="00D57F9F">
        <w:rPr>
          <w:rFonts w:ascii="Arial" w:hAnsi="Arial" w:cs="Arial"/>
          <w:szCs w:val="24"/>
        </w:rPr>
        <w:t xml:space="preserve"> November 2018. </w:t>
      </w:r>
      <w:r w:rsidRPr="007908B4">
        <w:rPr>
          <w:rFonts w:ascii="Arial" w:hAnsi="Arial" w:cs="Arial"/>
          <w:szCs w:val="24"/>
        </w:rPr>
        <w:t>Te Taihauauru represents iwi and hapu along the western side of the lower North Island, from the Mokau River in north Taranaki through to Waikanae in the south.</w:t>
      </w:r>
      <w:r w:rsidRPr="00D57F9F">
        <w:rPr>
          <w:rFonts w:ascii="Arial" w:hAnsi="Arial" w:cs="Arial"/>
          <w:szCs w:val="24"/>
        </w:rPr>
        <w:t xml:space="preserve"> </w:t>
      </w:r>
      <w:r w:rsidRPr="007908B4">
        <w:rPr>
          <w:rFonts w:ascii="Arial" w:hAnsi="Arial" w:cs="Arial"/>
          <w:szCs w:val="24"/>
        </w:rPr>
        <w:t xml:space="preserve">The forum did not have any specific feedback on the CRA 4 proposal. Only a small </w:t>
      </w:r>
      <w:r>
        <w:rPr>
          <w:rFonts w:ascii="Arial" w:hAnsi="Arial" w:cs="Arial"/>
          <w:szCs w:val="24"/>
        </w:rPr>
        <w:t>proportion</w:t>
      </w:r>
      <w:r w:rsidRPr="007908B4">
        <w:rPr>
          <w:rFonts w:ascii="Arial" w:hAnsi="Arial" w:cs="Arial"/>
          <w:szCs w:val="24"/>
        </w:rPr>
        <w:t xml:space="preserve"> of the CRA 4 fishery falls within the Forum’s rohe.</w:t>
      </w:r>
    </w:p>
    <w:p w14:paraId="304F75E5" w14:textId="77777777" w:rsidR="00966DD6" w:rsidRDefault="00966DD6" w:rsidP="00966DD6">
      <w:pPr>
        <w:pStyle w:val="ListParagraph"/>
        <w:spacing w:after="0" w:line="240" w:lineRule="auto"/>
        <w:ind w:left="567"/>
        <w:contextualSpacing w:val="0"/>
        <w:jc w:val="left"/>
        <w:rPr>
          <w:rFonts w:ascii="Arial" w:hAnsi="Arial" w:cs="Arial"/>
          <w:szCs w:val="24"/>
        </w:rPr>
      </w:pPr>
    </w:p>
    <w:p w14:paraId="2B37F18A" w14:textId="067A7B38" w:rsidR="00AE2F0E" w:rsidRPr="00AE2F0E" w:rsidRDefault="00AE2F0E" w:rsidP="00AE2F0E">
      <w:pPr>
        <w:pStyle w:val="ListParagraph"/>
        <w:numPr>
          <w:ilvl w:val="0"/>
          <w:numId w:val="30"/>
        </w:numPr>
        <w:spacing w:after="0" w:line="240" w:lineRule="auto"/>
        <w:ind w:left="567" w:hanging="567"/>
        <w:jc w:val="left"/>
        <w:rPr>
          <w:rFonts w:ascii="Arial" w:hAnsi="Arial" w:cs="Arial"/>
          <w:color w:val="000000" w:themeColor="text1"/>
        </w:rPr>
      </w:pPr>
      <w:r>
        <w:rPr>
          <w:rFonts w:ascii="Arial" w:hAnsi="Arial" w:cs="Arial"/>
          <w:color w:val="000000" w:themeColor="text1"/>
        </w:rPr>
        <w:t xml:space="preserve">The majority of the CRA 3 and CRA 4 management areas do not have a Iwi Forum Fisheries Plan. </w:t>
      </w:r>
      <w:r w:rsidRPr="00AE2F0E">
        <w:rPr>
          <w:rFonts w:ascii="Arial" w:hAnsi="Arial" w:cs="Arial"/>
          <w:color w:val="000000" w:themeColor="text1"/>
        </w:rPr>
        <w:t xml:space="preserve">The Te Taihauāuru Iwi </w:t>
      </w:r>
      <w:r>
        <w:rPr>
          <w:rFonts w:ascii="Arial" w:hAnsi="Arial" w:cs="Arial"/>
          <w:color w:val="000000" w:themeColor="text1"/>
        </w:rPr>
        <w:t xml:space="preserve">Forum Fisheries Plan encompasses a small part of the CRA 4 </w:t>
      </w:r>
      <w:r w:rsidRPr="00AE2F0E">
        <w:rPr>
          <w:rFonts w:ascii="Arial" w:hAnsi="Arial" w:cs="Arial"/>
          <w:color w:val="000000" w:themeColor="text1"/>
        </w:rPr>
        <w:t xml:space="preserve">area </w:t>
      </w:r>
      <w:r>
        <w:rPr>
          <w:rFonts w:ascii="Arial" w:hAnsi="Arial" w:cs="Arial"/>
          <w:color w:val="000000" w:themeColor="text1"/>
        </w:rPr>
        <w:t xml:space="preserve">from </w:t>
      </w:r>
      <w:r w:rsidRPr="00AE2F0E">
        <w:rPr>
          <w:rFonts w:ascii="Arial" w:hAnsi="Arial" w:cs="Arial"/>
          <w:color w:val="000000" w:themeColor="text1"/>
        </w:rPr>
        <w:t>north</w:t>
      </w:r>
      <w:r>
        <w:rPr>
          <w:rFonts w:ascii="Arial" w:hAnsi="Arial" w:cs="Arial"/>
          <w:color w:val="000000" w:themeColor="text1"/>
        </w:rPr>
        <w:t xml:space="preserve"> of Waikanae to the Manawatu River.</w:t>
      </w:r>
    </w:p>
    <w:p w14:paraId="1C3A0FCE" w14:textId="23D5BC42" w:rsidR="00AE2F0E" w:rsidRDefault="00AE2F0E" w:rsidP="00AE2F0E">
      <w:pPr>
        <w:pStyle w:val="ListParagraph"/>
        <w:spacing w:after="0" w:line="240" w:lineRule="auto"/>
        <w:ind w:left="567"/>
        <w:jc w:val="left"/>
        <w:rPr>
          <w:rFonts w:ascii="Arial" w:hAnsi="Arial" w:cs="Arial"/>
          <w:color w:val="000000" w:themeColor="text1"/>
        </w:rPr>
      </w:pPr>
    </w:p>
    <w:p w14:paraId="7A7D0F0D" w14:textId="59A3EA32" w:rsidR="00AE2F0E" w:rsidRDefault="00AE2F0E" w:rsidP="00AE2F0E">
      <w:pPr>
        <w:pStyle w:val="ListParagraph"/>
        <w:numPr>
          <w:ilvl w:val="0"/>
          <w:numId w:val="30"/>
        </w:numPr>
        <w:spacing w:after="60" w:line="240" w:lineRule="auto"/>
        <w:ind w:left="567" w:hanging="567"/>
        <w:contextualSpacing w:val="0"/>
        <w:jc w:val="left"/>
        <w:rPr>
          <w:rFonts w:ascii="Arial" w:hAnsi="Arial" w:cs="Arial"/>
          <w:color w:val="000000" w:themeColor="text1"/>
        </w:rPr>
      </w:pPr>
      <w:r>
        <w:rPr>
          <w:rFonts w:ascii="Arial" w:hAnsi="Arial" w:cs="Arial"/>
          <w:color w:val="000000" w:themeColor="text1"/>
        </w:rPr>
        <w:t>The Te Taihauāuru Iwi Forum Fisheries Plan notes that rock lobster is an important species (described as taonga by some iwi), both significant in terms of its integral role in cultural practices, and economically significant as a result of the income it generates. The</w:t>
      </w:r>
      <w:r w:rsidRPr="007F73C2">
        <w:rPr>
          <w:rFonts w:ascii="Arial" w:hAnsi="Arial" w:cs="Arial"/>
          <w:color w:val="000000" w:themeColor="text1"/>
        </w:rPr>
        <w:t xml:space="preserve"> Plan contains three objectives which are relevant to the management options proposed for CRA </w:t>
      </w:r>
      <w:r>
        <w:rPr>
          <w:rFonts w:ascii="Arial" w:hAnsi="Arial" w:cs="Arial"/>
          <w:color w:val="000000" w:themeColor="text1"/>
        </w:rPr>
        <w:t>4</w:t>
      </w:r>
      <w:r w:rsidRPr="000B64D2">
        <w:rPr>
          <w:rFonts w:ascii="Arial" w:hAnsi="Arial" w:cs="Arial"/>
          <w:color w:val="000000" w:themeColor="text1"/>
        </w:rPr>
        <w:t>:</w:t>
      </w:r>
    </w:p>
    <w:p w14:paraId="2AB74EEC" w14:textId="77777777" w:rsidR="00AE2F0E" w:rsidRDefault="00AE2F0E" w:rsidP="00AE2F0E">
      <w:pPr>
        <w:pStyle w:val="ListParagraph"/>
        <w:numPr>
          <w:ilvl w:val="1"/>
          <w:numId w:val="30"/>
        </w:numPr>
        <w:spacing w:after="60" w:line="240" w:lineRule="auto"/>
        <w:ind w:left="1134" w:hanging="567"/>
        <w:contextualSpacing w:val="0"/>
        <w:jc w:val="left"/>
        <w:rPr>
          <w:rFonts w:ascii="Arial" w:hAnsi="Arial" w:cs="Arial"/>
          <w:color w:val="000000" w:themeColor="text1"/>
        </w:rPr>
      </w:pPr>
      <w:r>
        <w:rPr>
          <w:rFonts w:ascii="Arial" w:hAnsi="Arial" w:cs="Arial"/>
          <w:color w:val="000000" w:themeColor="text1"/>
        </w:rPr>
        <w:t>Management objective 1: customary non-commercial fiesheries are healthy, sustainable, and support the cultural wellbeing of Te Taihauāuru Iwi;</w:t>
      </w:r>
    </w:p>
    <w:p w14:paraId="555B8E79" w14:textId="77777777" w:rsidR="00AE2F0E" w:rsidRDefault="00AE2F0E" w:rsidP="00AE2F0E">
      <w:pPr>
        <w:pStyle w:val="ListParagraph"/>
        <w:numPr>
          <w:ilvl w:val="1"/>
          <w:numId w:val="30"/>
        </w:numPr>
        <w:spacing w:after="60" w:line="240" w:lineRule="auto"/>
        <w:ind w:left="1134" w:hanging="567"/>
        <w:contextualSpacing w:val="0"/>
        <w:jc w:val="left"/>
        <w:rPr>
          <w:rFonts w:ascii="Arial" w:hAnsi="Arial" w:cs="Arial"/>
          <w:color w:val="000000" w:themeColor="text1"/>
        </w:rPr>
      </w:pPr>
      <w:r>
        <w:rPr>
          <w:rFonts w:ascii="Arial" w:hAnsi="Arial" w:cs="Arial"/>
          <w:color w:val="000000" w:themeColor="text1"/>
        </w:rPr>
        <w:t>Management objective 2: commercial fisheries are sustainable and support the economic wellbeing of Te Taihauāuru Iwi; and</w:t>
      </w:r>
    </w:p>
    <w:p w14:paraId="34759086" w14:textId="77777777" w:rsidR="00AE2F0E" w:rsidRDefault="00AE2F0E" w:rsidP="00AE2F0E">
      <w:pPr>
        <w:pStyle w:val="ListParagraph"/>
        <w:numPr>
          <w:ilvl w:val="1"/>
          <w:numId w:val="30"/>
        </w:numPr>
        <w:spacing w:after="0" w:line="240" w:lineRule="auto"/>
        <w:ind w:left="1134" w:hanging="567"/>
        <w:jc w:val="left"/>
        <w:rPr>
          <w:rFonts w:ascii="Arial" w:hAnsi="Arial" w:cs="Arial"/>
          <w:color w:val="000000" w:themeColor="text1"/>
        </w:rPr>
      </w:pPr>
      <w:r>
        <w:rPr>
          <w:rFonts w:ascii="Arial" w:hAnsi="Arial" w:cs="Arial"/>
          <w:color w:val="000000" w:themeColor="text1"/>
        </w:rPr>
        <w:t>Management objective 3: mana and rangatiratanga over our fisheries is restored, preserved and protected for future generations.</w:t>
      </w:r>
    </w:p>
    <w:p w14:paraId="38122425" w14:textId="77777777" w:rsidR="00AE2F0E" w:rsidRDefault="00AE2F0E" w:rsidP="00AE2F0E">
      <w:pPr>
        <w:pStyle w:val="ListParagraph"/>
        <w:spacing w:after="0" w:line="240" w:lineRule="auto"/>
        <w:ind w:left="1134"/>
        <w:jc w:val="left"/>
        <w:rPr>
          <w:rFonts w:ascii="Arial" w:hAnsi="Arial" w:cs="Arial"/>
          <w:color w:val="000000" w:themeColor="text1"/>
        </w:rPr>
      </w:pPr>
    </w:p>
    <w:p w14:paraId="1D3632FB" w14:textId="6DA5FFE7" w:rsidR="00AE2F0E" w:rsidRPr="00081EE7" w:rsidRDefault="00AE2F0E" w:rsidP="00AE2F0E">
      <w:pPr>
        <w:pStyle w:val="ListParagraph"/>
        <w:numPr>
          <w:ilvl w:val="0"/>
          <w:numId w:val="30"/>
        </w:numPr>
        <w:spacing w:after="0" w:line="240" w:lineRule="auto"/>
        <w:ind w:left="567" w:hanging="567"/>
        <w:jc w:val="left"/>
        <w:rPr>
          <w:rFonts w:ascii="Arial" w:hAnsi="Arial" w:cs="Arial"/>
          <w:color w:val="000000" w:themeColor="text1"/>
        </w:rPr>
      </w:pPr>
      <w:r>
        <w:rPr>
          <w:rFonts w:ascii="Arial" w:hAnsi="Arial" w:cs="Arial"/>
          <w:color w:val="000000" w:themeColor="text1"/>
        </w:rPr>
        <w:t xml:space="preserve">The National Rock Lobster Management Group and </w:t>
      </w:r>
      <w:r w:rsidRPr="000B64D2">
        <w:rPr>
          <w:rFonts w:ascii="Arial" w:hAnsi="Arial" w:cs="Arial"/>
          <w:color w:val="000000" w:themeColor="text1"/>
        </w:rPr>
        <w:t xml:space="preserve">Fisheries New Zealand </w:t>
      </w:r>
      <w:r>
        <w:rPr>
          <w:rFonts w:ascii="Arial" w:hAnsi="Arial" w:cs="Arial"/>
          <w:color w:val="000000" w:themeColor="text1"/>
        </w:rPr>
        <w:t>consider</w:t>
      </w:r>
      <w:r w:rsidRPr="000B64D2">
        <w:rPr>
          <w:rFonts w:ascii="Arial" w:hAnsi="Arial" w:cs="Arial"/>
          <w:color w:val="000000" w:themeColor="text1"/>
        </w:rPr>
        <w:t xml:space="preserve"> that the management options presented in this advice paper will contribute towards the achievement of these three management objectives in ensuring that appropriate </w:t>
      </w:r>
      <w:r w:rsidRPr="000B64D2">
        <w:rPr>
          <w:rFonts w:ascii="Arial" w:hAnsi="Arial" w:cs="Arial"/>
          <w:color w:val="000000" w:themeColor="text1"/>
        </w:rPr>
        <w:lastRenderedPageBreak/>
        <w:t xml:space="preserve">allowances are made for customary non-commercial fishing, the fishery remains sustainable, and that environmental impacts are minimised. </w:t>
      </w:r>
    </w:p>
    <w:p w14:paraId="4880BA6D" w14:textId="77777777" w:rsidR="00AE2F0E" w:rsidRDefault="00AE2F0E" w:rsidP="00966DD6">
      <w:pPr>
        <w:pStyle w:val="ListParagraph"/>
        <w:spacing w:after="0" w:line="240" w:lineRule="auto"/>
        <w:ind w:left="567"/>
        <w:contextualSpacing w:val="0"/>
        <w:jc w:val="left"/>
        <w:rPr>
          <w:rFonts w:ascii="Arial" w:hAnsi="Arial" w:cs="Arial"/>
          <w:szCs w:val="24"/>
        </w:rPr>
      </w:pPr>
    </w:p>
    <w:p w14:paraId="6CEC8029" w14:textId="264167A8" w:rsidR="00966DD6" w:rsidRPr="00966DD6" w:rsidRDefault="00966DD6" w:rsidP="00966DD6">
      <w:pPr>
        <w:pStyle w:val="ListParagraph"/>
        <w:spacing w:after="120" w:line="240" w:lineRule="auto"/>
        <w:ind w:left="567" w:hanging="567"/>
        <w:contextualSpacing w:val="0"/>
        <w:rPr>
          <w:rFonts w:ascii="Arial Narrow" w:eastAsiaTheme="majorEastAsia" w:hAnsi="Arial Narrow" w:cstheme="majorBidi"/>
          <w:b/>
          <w:sz w:val="24"/>
          <w:szCs w:val="24"/>
        </w:rPr>
      </w:pPr>
      <w:r>
        <w:rPr>
          <w:rFonts w:ascii="Arial Narrow" w:eastAsiaTheme="majorEastAsia" w:hAnsi="Arial Narrow" w:cstheme="majorBidi"/>
          <w:b/>
          <w:sz w:val="24"/>
          <w:szCs w:val="24"/>
        </w:rPr>
        <w:t xml:space="preserve">CRA 8 </w:t>
      </w:r>
      <w:r w:rsidRPr="00966DD6">
        <w:rPr>
          <w:rFonts w:ascii="Arial Narrow" w:eastAsiaTheme="majorEastAsia" w:hAnsi="Arial Narrow" w:cstheme="majorBidi"/>
          <w:b/>
          <w:sz w:val="24"/>
          <w:szCs w:val="24"/>
        </w:rPr>
        <w:t>proposals</w:t>
      </w:r>
    </w:p>
    <w:p w14:paraId="07AEB3CA" w14:textId="68FCD753" w:rsidR="00AE2F0E" w:rsidRDefault="002A374F" w:rsidP="00AE2F0E">
      <w:pPr>
        <w:pStyle w:val="ListParagraph"/>
        <w:numPr>
          <w:ilvl w:val="0"/>
          <w:numId w:val="26"/>
        </w:numPr>
        <w:spacing w:after="0" w:line="240" w:lineRule="auto"/>
        <w:ind w:left="567" w:hanging="567"/>
        <w:contextualSpacing w:val="0"/>
        <w:jc w:val="left"/>
        <w:rPr>
          <w:rFonts w:ascii="Arial" w:hAnsi="Arial" w:cs="Arial"/>
          <w:szCs w:val="24"/>
        </w:rPr>
      </w:pPr>
      <w:r w:rsidRPr="00D57F9F">
        <w:rPr>
          <w:rFonts w:ascii="Arial" w:hAnsi="Arial" w:cs="Arial"/>
          <w:szCs w:val="24"/>
        </w:rPr>
        <w:t>The proposal to consult on CRA 8 was presented to Te Waka a Māui me Ōna Toka Iwi Forum in November 2017 and they were supportive of the proposals for these fisheries. The Te Waka a Māui me Ōna Toka Iwi Forum represents all nine iwi of the South Island, each holding mana moana and significant interests (both commercial and non-commercial) in South Island fisheries.</w:t>
      </w:r>
      <w:r>
        <w:rPr>
          <w:rFonts w:ascii="Arial" w:hAnsi="Arial" w:cs="Arial"/>
          <w:szCs w:val="24"/>
        </w:rPr>
        <w:t xml:space="preserve"> Of these iwi, Ngai Tahu is most relevant, as CRA 8 falls within their rohe.</w:t>
      </w:r>
    </w:p>
    <w:p w14:paraId="46DD87AF" w14:textId="77777777" w:rsidR="00AE2F0E" w:rsidRDefault="00AE2F0E" w:rsidP="00AE2F0E">
      <w:pPr>
        <w:pStyle w:val="ListParagraph"/>
        <w:spacing w:after="0" w:line="240" w:lineRule="auto"/>
        <w:ind w:left="567"/>
        <w:contextualSpacing w:val="0"/>
        <w:jc w:val="left"/>
        <w:rPr>
          <w:rFonts w:ascii="Arial" w:hAnsi="Arial" w:cs="Arial"/>
          <w:szCs w:val="24"/>
        </w:rPr>
      </w:pPr>
    </w:p>
    <w:p w14:paraId="00AFBEF3" w14:textId="2E13E1AF" w:rsidR="002A374F" w:rsidRPr="00AE2F0E" w:rsidRDefault="002A374F" w:rsidP="00AE2F0E">
      <w:pPr>
        <w:pStyle w:val="ListParagraph"/>
        <w:numPr>
          <w:ilvl w:val="0"/>
          <w:numId w:val="26"/>
        </w:numPr>
        <w:spacing w:after="60" w:line="240" w:lineRule="auto"/>
        <w:ind w:left="567" w:hanging="567"/>
        <w:contextualSpacing w:val="0"/>
        <w:jc w:val="left"/>
        <w:rPr>
          <w:rFonts w:ascii="Arial" w:hAnsi="Arial" w:cs="Arial"/>
          <w:szCs w:val="24"/>
        </w:rPr>
      </w:pPr>
      <w:r w:rsidRPr="00AE2F0E">
        <w:rPr>
          <w:rFonts w:ascii="Arial" w:hAnsi="Arial" w:cs="Arial"/>
          <w:color w:val="000000" w:themeColor="text1"/>
        </w:rPr>
        <w:t xml:space="preserve">Rock lobster (koura) is identified as a taonga species in the </w:t>
      </w:r>
      <w:r w:rsidR="00AE2F0E">
        <w:rPr>
          <w:rFonts w:ascii="Arial" w:hAnsi="Arial" w:cs="Arial"/>
          <w:color w:val="000000" w:themeColor="text1"/>
        </w:rPr>
        <w:t xml:space="preserve">South Island </w:t>
      </w:r>
      <w:r w:rsidRPr="00AE2F0E">
        <w:rPr>
          <w:rFonts w:ascii="Arial" w:hAnsi="Arial" w:cs="Arial"/>
          <w:color w:val="000000" w:themeColor="text1"/>
        </w:rPr>
        <w:t>Te Waipounamu Iwi Fisheries Plan. The Plan contains three objectives which are relevant to the management options proposed for CRA 8:</w:t>
      </w:r>
    </w:p>
    <w:p w14:paraId="53B39C37" w14:textId="77777777" w:rsidR="002A374F" w:rsidRPr="00081EE7" w:rsidRDefault="002A374F" w:rsidP="00AE2F0E">
      <w:pPr>
        <w:pStyle w:val="ListParagraph"/>
        <w:numPr>
          <w:ilvl w:val="0"/>
          <w:numId w:val="29"/>
        </w:numPr>
        <w:spacing w:after="60" w:line="240" w:lineRule="auto"/>
        <w:ind w:left="1134" w:hanging="567"/>
        <w:contextualSpacing w:val="0"/>
        <w:jc w:val="left"/>
        <w:rPr>
          <w:rFonts w:ascii="Arial" w:hAnsi="Arial" w:cs="Arial"/>
          <w:color w:val="000000" w:themeColor="text1"/>
        </w:rPr>
      </w:pPr>
      <w:r w:rsidRPr="00081EE7">
        <w:rPr>
          <w:rFonts w:ascii="Arial" w:hAnsi="Arial" w:cs="Arial"/>
          <w:color w:val="000000" w:themeColor="text1"/>
        </w:rPr>
        <w:t xml:space="preserve">Management objective 1: to create thriving customary non-commercial fisheries that support the cultural wellbeing of South Island iwi and our </w:t>
      </w:r>
      <w:r w:rsidRPr="00081EE7">
        <w:rPr>
          <w:rFonts w:ascii="Arial" w:hAnsi="Arial" w:cs="Arial"/>
          <w:color w:val="000000" w:themeColor="text1"/>
          <w:lang w:val="mi-NZ"/>
        </w:rPr>
        <w:t>whānau;</w:t>
      </w:r>
    </w:p>
    <w:p w14:paraId="2C7CBF2D" w14:textId="77777777" w:rsidR="002A374F" w:rsidRPr="00081EE7" w:rsidRDefault="002A374F" w:rsidP="00AE2F0E">
      <w:pPr>
        <w:pStyle w:val="ListParagraph"/>
        <w:numPr>
          <w:ilvl w:val="0"/>
          <w:numId w:val="29"/>
        </w:numPr>
        <w:spacing w:after="60" w:line="240" w:lineRule="auto"/>
        <w:ind w:left="1134" w:hanging="567"/>
        <w:contextualSpacing w:val="0"/>
        <w:jc w:val="left"/>
        <w:rPr>
          <w:rFonts w:ascii="Arial" w:hAnsi="Arial" w:cs="Arial"/>
          <w:color w:val="000000" w:themeColor="text1"/>
        </w:rPr>
      </w:pPr>
      <w:r w:rsidRPr="00081EE7">
        <w:rPr>
          <w:rFonts w:ascii="Arial" w:hAnsi="Arial" w:cs="Arial"/>
          <w:color w:val="000000" w:themeColor="text1"/>
        </w:rPr>
        <w:t>Management objective 3: to develop environmentally responsible, productive, sustainable and culturally appropriate commercial fisheries that create long-term commercial benefits and economic development opportunities for South Island iwi; and</w:t>
      </w:r>
    </w:p>
    <w:p w14:paraId="6AA07782" w14:textId="14DD6044" w:rsidR="00AE2F0E" w:rsidRDefault="002A374F" w:rsidP="00AE2F0E">
      <w:pPr>
        <w:pStyle w:val="ListParagraph"/>
        <w:numPr>
          <w:ilvl w:val="0"/>
          <w:numId w:val="29"/>
        </w:numPr>
        <w:spacing w:after="240" w:line="240" w:lineRule="auto"/>
        <w:ind w:left="1134" w:hanging="567"/>
        <w:jc w:val="left"/>
        <w:rPr>
          <w:rFonts w:ascii="Arial" w:hAnsi="Arial" w:cs="Arial"/>
          <w:color w:val="000000" w:themeColor="text1"/>
        </w:rPr>
      </w:pPr>
      <w:r w:rsidRPr="00081EE7">
        <w:rPr>
          <w:rFonts w:ascii="Arial" w:hAnsi="Arial" w:cs="Arial"/>
          <w:color w:val="000000" w:themeColor="text1"/>
        </w:rPr>
        <w:t>Management objective 5: to restore, maintain and enhance the mauri and wairua of fisheries throughout the South Island.</w:t>
      </w:r>
    </w:p>
    <w:p w14:paraId="63F94CE8" w14:textId="77777777" w:rsidR="00AE2F0E" w:rsidRPr="00AE2F0E" w:rsidRDefault="00AE2F0E" w:rsidP="00AE2F0E">
      <w:pPr>
        <w:pStyle w:val="ListParagraph"/>
        <w:spacing w:after="240" w:line="240" w:lineRule="auto"/>
        <w:ind w:left="1134"/>
        <w:jc w:val="left"/>
        <w:rPr>
          <w:rFonts w:ascii="Arial" w:hAnsi="Arial" w:cs="Arial"/>
          <w:color w:val="000000" w:themeColor="text1"/>
        </w:rPr>
      </w:pPr>
    </w:p>
    <w:p w14:paraId="2D2C33EE" w14:textId="77777777" w:rsidR="00AE2F0E" w:rsidRDefault="00AE2F0E" w:rsidP="00AE2F0E">
      <w:pPr>
        <w:pStyle w:val="ListParagraph"/>
        <w:numPr>
          <w:ilvl w:val="0"/>
          <w:numId w:val="30"/>
        </w:numPr>
        <w:spacing w:after="0" w:line="240" w:lineRule="auto"/>
        <w:ind w:left="567" w:hanging="567"/>
        <w:jc w:val="left"/>
        <w:rPr>
          <w:rFonts w:ascii="Arial" w:hAnsi="Arial" w:cs="Arial"/>
          <w:color w:val="000000" w:themeColor="text1"/>
        </w:rPr>
      </w:pPr>
      <w:r>
        <w:rPr>
          <w:rFonts w:ascii="Arial" w:hAnsi="Arial" w:cs="Arial"/>
          <w:color w:val="000000" w:themeColor="text1"/>
        </w:rPr>
        <w:t>The National Rock Lobster Management Group and Fisheries New Zealand consider</w:t>
      </w:r>
      <w:r w:rsidR="002A374F" w:rsidRPr="000B64D2">
        <w:rPr>
          <w:rFonts w:ascii="Arial" w:hAnsi="Arial" w:cs="Arial"/>
          <w:color w:val="000000" w:themeColor="text1"/>
        </w:rPr>
        <w:t xml:space="preserve"> that the management options presented in this advice paper will contribute towards the achievement of these three management objectives in ensuring that appropriate allowances are made for customary non-commercial fishing, the fishery remains sustainable, and that envir</w:t>
      </w:r>
      <w:r>
        <w:rPr>
          <w:rFonts w:ascii="Arial" w:hAnsi="Arial" w:cs="Arial"/>
          <w:color w:val="000000" w:themeColor="text1"/>
        </w:rPr>
        <w:t>onmental impacts are minimised.</w:t>
      </w:r>
    </w:p>
    <w:p w14:paraId="52A61D6F" w14:textId="77777777" w:rsidR="00AE2F0E" w:rsidRDefault="00AE2F0E" w:rsidP="00AE2F0E">
      <w:pPr>
        <w:pStyle w:val="ListParagraph"/>
        <w:spacing w:after="0" w:line="240" w:lineRule="auto"/>
        <w:ind w:left="567"/>
        <w:jc w:val="left"/>
        <w:rPr>
          <w:rFonts w:ascii="Arial" w:hAnsi="Arial" w:cs="Arial"/>
          <w:color w:val="000000" w:themeColor="text1"/>
        </w:rPr>
      </w:pPr>
    </w:p>
    <w:p w14:paraId="7EA257D6" w14:textId="13D0F726" w:rsidR="002A374F" w:rsidRPr="00AE2F0E" w:rsidRDefault="002A374F" w:rsidP="00AE2F0E">
      <w:pPr>
        <w:pStyle w:val="ListParagraph"/>
        <w:numPr>
          <w:ilvl w:val="0"/>
          <w:numId w:val="30"/>
        </w:numPr>
        <w:spacing w:after="0" w:line="240" w:lineRule="auto"/>
        <w:ind w:left="567" w:hanging="567"/>
        <w:jc w:val="left"/>
        <w:rPr>
          <w:rFonts w:ascii="Arial" w:hAnsi="Arial" w:cs="Arial"/>
          <w:color w:val="000000" w:themeColor="text1"/>
        </w:rPr>
      </w:pPr>
      <w:r w:rsidRPr="00AE2F0E">
        <w:rPr>
          <w:rFonts w:ascii="Arial" w:hAnsi="Arial" w:cs="Arial"/>
          <w:szCs w:val="24"/>
        </w:rPr>
        <w:t>Section 12 (2) says that as soon as practicable after setting or varying any sustainability measure, the Minister shall give the persons consulted under 12(1), the reasons in writing for his or her decisions.</w:t>
      </w:r>
    </w:p>
    <w:p w14:paraId="16B16598" w14:textId="77777777" w:rsidR="002A374F" w:rsidRPr="002A374F" w:rsidRDefault="002A374F" w:rsidP="002A374F">
      <w:pPr>
        <w:contextualSpacing w:val="0"/>
        <w:rPr>
          <w:rFonts w:ascii="Arial" w:hAnsi="Arial" w:cs="Arial"/>
          <w:szCs w:val="24"/>
        </w:rPr>
      </w:pPr>
    </w:p>
    <w:p w14:paraId="5D47ED0C" w14:textId="7A34430C" w:rsidR="00D979B1" w:rsidRDefault="00D979B1" w:rsidP="009D1C04">
      <w:pPr>
        <w:pStyle w:val="Heading2"/>
        <w:numPr>
          <w:ilvl w:val="0"/>
          <w:numId w:val="0"/>
        </w:numPr>
        <w:ind w:left="576" w:hanging="576"/>
      </w:pPr>
      <w:bookmarkStart w:id="156" w:name="_Toc531692812"/>
      <w:bookmarkStart w:id="157" w:name="_Toc532471910"/>
      <w:r>
        <w:t xml:space="preserve">Section 13 - Setting and </w:t>
      </w:r>
      <w:r w:rsidR="005467BA">
        <w:t>V</w:t>
      </w:r>
      <w:r>
        <w:t>ariation of The Total Allowable Catch</w:t>
      </w:r>
      <w:bookmarkEnd w:id="156"/>
      <w:bookmarkEnd w:id="157"/>
    </w:p>
    <w:p w14:paraId="2B5DDFCB" w14:textId="77777777" w:rsidR="00D979B1" w:rsidRPr="00426161" w:rsidRDefault="00D979B1" w:rsidP="00F1422F">
      <w:pPr>
        <w:pStyle w:val="ListParagraph"/>
        <w:numPr>
          <w:ilvl w:val="0"/>
          <w:numId w:val="26"/>
        </w:numPr>
        <w:spacing w:after="0" w:line="240" w:lineRule="auto"/>
        <w:ind w:left="567" w:hanging="567"/>
        <w:contextualSpacing w:val="0"/>
        <w:jc w:val="left"/>
        <w:rPr>
          <w:rFonts w:ascii="Arial" w:hAnsi="Arial" w:cs="Arial"/>
          <w:szCs w:val="24"/>
        </w:rPr>
      </w:pPr>
      <w:r w:rsidRPr="00426161" w:rsidDel="00CD59A3">
        <w:rPr>
          <w:rFonts w:ascii="Arial" w:hAnsi="Arial" w:cs="Arial"/>
          <w:szCs w:val="24"/>
        </w:rPr>
        <w:t xml:space="preserve">A central consideration when choosing whether to use a management procedure to guide TAC setting in a </w:t>
      </w:r>
      <w:r w:rsidRPr="00426161">
        <w:rPr>
          <w:rFonts w:ascii="Arial" w:hAnsi="Arial" w:cs="Arial"/>
          <w:szCs w:val="24"/>
        </w:rPr>
        <w:t xml:space="preserve">rock lobster </w:t>
      </w:r>
      <w:r w:rsidRPr="00426161" w:rsidDel="00CD59A3">
        <w:rPr>
          <w:rFonts w:ascii="Arial" w:hAnsi="Arial" w:cs="Arial"/>
          <w:szCs w:val="24"/>
        </w:rPr>
        <w:t>fishery is whether the procedure enables the Minister to set a TAC that complies with section 13 of the Act.</w:t>
      </w:r>
    </w:p>
    <w:p w14:paraId="4B5F40F1" w14:textId="77777777" w:rsidR="00D979B1" w:rsidRPr="00426161" w:rsidRDefault="00D979B1" w:rsidP="00D979B1">
      <w:pPr>
        <w:pStyle w:val="ListParagraph"/>
        <w:spacing w:after="0" w:line="240" w:lineRule="auto"/>
        <w:ind w:left="567" w:hanging="567"/>
        <w:contextualSpacing w:val="0"/>
        <w:rPr>
          <w:rFonts w:ascii="Arial" w:hAnsi="Arial" w:cs="Arial"/>
          <w:szCs w:val="24"/>
        </w:rPr>
      </w:pPr>
    </w:p>
    <w:p w14:paraId="204B415C" w14:textId="77777777" w:rsidR="00D979B1" w:rsidRPr="00426161" w:rsidRDefault="00D979B1" w:rsidP="00F1422F">
      <w:pPr>
        <w:pStyle w:val="ListParagraph"/>
        <w:numPr>
          <w:ilvl w:val="0"/>
          <w:numId w:val="26"/>
        </w:numPr>
        <w:spacing w:after="0" w:line="240" w:lineRule="auto"/>
        <w:ind w:left="567" w:hanging="567"/>
        <w:contextualSpacing w:val="0"/>
        <w:jc w:val="left"/>
        <w:rPr>
          <w:rFonts w:ascii="Arial" w:hAnsi="Arial" w:cs="Arial"/>
          <w:szCs w:val="24"/>
        </w:rPr>
      </w:pPr>
      <w:r w:rsidRPr="00426161">
        <w:rPr>
          <w:rFonts w:ascii="Arial" w:hAnsi="Arial" w:cs="Arial"/>
          <w:szCs w:val="24"/>
        </w:rPr>
        <w:t xml:space="preserve">Under section 13 the general premise is to set a TAC that maintains the biomass of a stock at or above a level that can produce the maximum sustainable yield (MSY). That biomass level is abbreviated as </w:t>
      </w:r>
      <w:r w:rsidRPr="00426161">
        <w:rPr>
          <w:rFonts w:ascii="Arial" w:hAnsi="Arial" w:cs="Arial"/>
          <w:i/>
          <w:szCs w:val="24"/>
        </w:rPr>
        <w:t>B</w:t>
      </w:r>
      <w:r w:rsidRPr="00426161">
        <w:rPr>
          <w:rFonts w:ascii="Arial" w:hAnsi="Arial" w:cs="Arial"/>
          <w:i/>
          <w:szCs w:val="24"/>
          <w:vertAlign w:val="subscript"/>
        </w:rPr>
        <w:t>MSY</w:t>
      </w:r>
      <w:r w:rsidRPr="00426161">
        <w:rPr>
          <w:rFonts w:ascii="Arial" w:hAnsi="Arial" w:cs="Arial"/>
          <w:i/>
          <w:szCs w:val="24"/>
        </w:rPr>
        <w:t>.</w:t>
      </w:r>
      <w:r w:rsidRPr="00426161">
        <w:rPr>
          <w:rFonts w:ascii="Arial" w:hAnsi="Arial" w:cs="Arial"/>
          <w:szCs w:val="24"/>
        </w:rPr>
        <w:t xml:space="preserve"> </w:t>
      </w:r>
    </w:p>
    <w:p w14:paraId="021717CE" w14:textId="77777777" w:rsidR="00D979B1" w:rsidRPr="00426161" w:rsidRDefault="00D979B1" w:rsidP="00D979B1">
      <w:pPr>
        <w:pStyle w:val="ListParagraph"/>
        <w:ind w:left="567" w:hanging="567"/>
        <w:rPr>
          <w:rFonts w:ascii="Arial" w:hAnsi="Arial" w:cs="Arial"/>
          <w:szCs w:val="20"/>
        </w:rPr>
      </w:pPr>
    </w:p>
    <w:p w14:paraId="4AF8E1D9" w14:textId="77777777" w:rsidR="00D979B1" w:rsidRPr="00426161" w:rsidRDefault="00D979B1" w:rsidP="00F1422F">
      <w:pPr>
        <w:pStyle w:val="ListParagraph"/>
        <w:numPr>
          <w:ilvl w:val="0"/>
          <w:numId w:val="26"/>
        </w:numPr>
        <w:spacing w:after="0" w:line="240" w:lineRule="auto"/>
        <w:ind w:left="567" w:hanging="567"/>
        <w:contextualSpacing w:val="0"/>
        <w:jc w:val="left"/>
        <w:rPr>
          <w:rFonts w:ascii="Arial" w:hAnsi="Arial" w:cs="Arial"/>
          <w:szCs w:val="24"/>
        </w:rPr>
      </w:pPr>
      <w:r w:rsidRPr="00426161">
        <w:rPr>
          <w:rFonts w:ascii="Arial" w:hAnsi="Arial" w:cs="Arial"/>
          <w:szCs w:val="20"/>
        </w:rPr>
        <w:t>Under section 13(2) of the Act, the Minister must set a TAC that maintains a stock at or above a level that can produce the MSY, in a way that will result in the stock being restored to or above a level that can produce the MSY, having regard to the interdependence of stocks. However, before a TAC can be set under section 13(2) the Minister must be provided with an assessment of both current biomass and the biomass that can produce MSY.</w:t>
      </w:r>
    </w:p>
    <w:p w14:paraId="48FD1B86" w14:textId="77777777" w:rsidR="00D979B1" w:rsidRPr="00426161" w:rsidRDefault="00D979B1" w:rsidP="00D979B1">
      <w:pPr>
        <w:ind w:left="567" w:hanging="567"/>
        <w:rPr>
          <w:rFonts w:ascii="Arial" w:hAnsi="Arial" w:cs="Arial"/>
          <w:sz w:val="22"/>
        </w:rPr>
      </w:pPr>
    </w:p>
    <w:p w14:paraId="3115BE6B"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0"/>
        </w:rPr>
        <w:t xml:space="preserve">Where current biomass or </w:t>
      </w:r>
      <w:r w:rsidRPr="00426161">
        <w:rPr>
          <w:rFonts w:ascii="Arial" w:hAnsi="Arial" w:cs="Arial"/>
          <w:i/>
          <w:szCs w:val="20"/>
        </w:rPr>
        <w:t>B</w:t>
      </w:r>
      <w:r w:rsidRPr="00426161">
        <w:rPr>
          <w:rFonts w:ascii="Arial" w:hAnsi="Arial" w:cs="Arial"/>
          <w:i/>
          <w:szCs w:val="20"/>
          <w:vertAlign w:val="subscript"/>
        </w:rPr>
        <w:t>MSY</w:t>
      </w:r>
      <w:r w:rsidRPr="00426161">
        <w:rPr>
          <w:rFonts w:ascii="Arial" w:hAnsi="Arial" w:cs="Arial"/>
          <w:szCs w:val="20"/>
        </w:rPr>
        <w:t xml:space="preserve"> estimates are not available or not reliable, then the Minister is required to apply section 13 (2A) of the Act for the purposes of setting a </w:t>
      </w:r>
      <w:r w:rsidRPr="00426161">
        <w:rPr>
          <w:rFonts w:ascii="Arial" w:hAnsi="Arial" w:cs="Arial"/>
          <w:szCs w:val="20"/>
        </w:rPr>
        <w:lastRenderedPageBreak/>
        <w:t>TAC. Section 13 (2A) requires the Minister to set a TAC using the best available information, and ensuring that the TAC is not inconsistent with the objective of maintaining the stock at or above, or moving the stock towards or above,</w:t>
      </w:r>
      <w:r w:rsidRPr="00426161">
        <w:rPr>
          <w:rFonts w:ascii="Arial" w:hAnsi="Arial" w:cs="Arial"/>
          <w:szCs w:val="20"/>
          <w:vertAlign w:val="subscript"/>
        </w:rPr>
        <w:t xml:space="preserve"> </w:t>
      </w:r>
      <w:r w:rsidRPr="00426161">
        <w:rPr>
          <w:rFonts w:ascii="Arial" w:hAnsi="Arial" w:cs="Arial"/>
          <w:szCs w:val="20"/>
        </w:rPr>
        <w:t>a level which can produce the MSY.</w:t>
      </w:r>
    </w:p>
    <w:p w14:paraId="2A36E770" w14:textId="77777777" w:rsidR="00D979B1" w:rsidRPr="00426161" w:rsidRDefault="00D979B1" w:rsidP="00D979B1">
      <w:pPr>
        <w:ind w:left="567" w:hanging="567"/>
        <w:rPr>
          <w:rFonts w:ascii="Arial" w:hAnsi="Arial" w:cs="Arial"/>
          <w:sz w:val="22"/>
        </w:rPr>
      </w:pPr>
    </w:p>
    <w:p w14:paraId="175981FE"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0"/>
        </w:rPr>
        <w:t>The Minister may set the TAC to achieve the objective in a way and rate which has regard to the interdependence of stocks and within a period appropriate to the stock. In considering the way and rate in which a stock is moved towards or above a level that can produce the MSY under section 13(2)(b) or (c) or (2A), the Minister must have regard to such social, cultural and economic factors that are considered relevant.</w:t>
      </w:r>
    </w:p>
    <w:p w14:paraId="5FDC99A1" w14:textId="77777777" w:rsidR="00D979B1" w:rsidRPr="00426161" w:rsidRDefault="00D979B1" w:rsidP="00D979B1">
      <w:pPr>
        <w:ind w:left="567" w:hanging="567"/>
        <w:rPr>
          <w:rFonts w:ascii="Arial" w:hAnsi="Arial" w:cs="Arial"/>
          <w:sz w:val="22"/>
        </w:rPr>
      </w:pPr>
    </w:p>
    <w:p w14:paraId="2CFEA3B6" w14:textId="77C78E3F"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0"/>
        </w:rPr>
        <w:t xml:space="preserve">The management procedures discussed in this paper are designed to move stock biomass to, or maintain the biomass of each stock at, a size at or above agreed reference levels (i.e. </w:t>
      </w:r>
      <w:r w:rsidRPr="00426161">
        <w:rPr>
          <w:rFonts w:ascii="Arial" w:hAnsi="Arial" w:cs="Arial"/>
          <w:i/>
          <w:szCs w:val="20"/>
        </w:rPr>
        <w:t>B</w:t>
      </w:r>
      <w:r w:rsidRPr="00426161">
        <w:rPr>
          <w:rFonts w:ascii="Arial" w:hAnsi="Arial" w:cs="Arial"/>
          <w:i/>
          <w:szCs w:val="20"/>
          <w:vertAlign w:val="subscript"/>
        </w:rPr>
        <w:t>REF</w:t>
      </w:r>
      <w:r w:rsidRPr="00426161">
        <w:rPr>
          <w:rFonts w:ascii="Arial" w:hAnsi="Arial" w:cs="Arial"/>
          <w:szCs w:val="20"/>
        </w:rPr>
        <w:t>) as required under section 13 of the Act.</w:t>
      </w:r>
    </w:p>
    <w:p w14:paraId="3FDB3803" w14:textId="77777777" w:rsidR="00D979B1" w:rsidRPr="00426161" w:rsidRDefault="00D979B1" w:rsidP="00D979B1">
      <w:pPr>
        <w:ind w:left="567" w:hanging="567"/>
        <w:rPr>
          <w:rFonts w:ascii="Arial" w:hAnsi="Arial" w:cs="Arial"/>
          <w:sz w:val="22"/>
        </w:rPr>
      </w:pPr>
    </w:p>
    <w:p w14:paraId="58009C16"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0"/>
        </w:rPr>
      </w:pPr>
      <w:r w:rsidRPr="00426161">
        <w:rPr>
          <w:rFonts w:ascii="Arial" w:hAnsi="Arial" w:cs="Arial"/>
          <w:szCs w:val="20"/>
        </w:rPr>
        <w:t>When setting a TAC under section 13, the Minster must also have regard to the biological characteristics of the stock, and any environmental conditions affecting the stock.</w:t>
      </w:r>
    </w:p>
    <w:p w14:paraId="4736F2A5" w14:textId="77777777" w:rsidR="00D979B1" w:rsidRDefault="00D979B1" w:rsidP="00D979B1">
      <w:pPr>
        <w:pStyle w:val="Heading3"/>
      </w:pPr>
      <w:r>
        <w:t>Interdependence of stocks</w:t>
      </w:r>
    </w:p>
    <w:p w14:paraId="22076C53" w14:textId="77777777" w:rsidR="00D979B1" w:rsidRDefault="00D979B1" w:rsidP="00F1422F">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The obligation to have regard to the interdependence of stocks when setting a TAC under section 13 requires consideration of the effects of fishing on associated stocks harvested with the target stock. Examples include other non-target species (bycatch) or benthic species that are incidentally impacted by fishing gear. The role of the target stock in the food chain should also be considered. In particular, independence involves a direct trophic (i.e. one stock is likely to be directly affected through a predator-prey relationship by the abundance of another stock) relationship between stocks.</w:t>
      </w:r>
    </w:p>
    <w:p w14:paraId="11D37177" w14:textId="77777777" w:rsidR="00D979B1" w:rsidRPr="00D57F9F" w:rsidRDefault="00D979B1" w:rsidP="00D979B1">
      <w:pPr>
        <w:pStyle w:val="ListParagraph"/>
        <w:spacing w:after="0" w:line="240" w:lineRule="auto"/>
        <w:ind w:left="567"/>
        <w:jc w:val="left"/>
        <w:rPr>
          <w:rFonts w:ascii="Arial" w:hAnsi="Arial" w:cs="Arial"/>
          <w:szCs w:val="20"/>
        </w:rPr>
      </w:pPr>
    </w:p>
    <w:p w14:paraId="77B49661" w14:textId="77777777" w:rsidR="00D979B1" w:rsidRDefault="00D979B1" w:rsidP="00F1422F">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Potting is the main method commercial fishers use to target rock lobster. This method is considered to have very little direct effect on non-target species and benthic species. The most frequently reported incidental species caught via commercial rock lobster potting, in decreasing order of catch across all stocks are: octopus, conger eel, blue cod, trumpeter, sea perch, red cod, butterfish and leatherjackets. This is based on an analysis of estimated incidental catches for the period 1989 to 2003. The non-rock lobster catch ranged from 2 to 11% of the estimated rock lobster catch weight per stock over this period.</w:t>
      </w:r>
    </w:p>
    <w:p w14:paraId="65F9F143" w14:textId="77777777" w:rsidR="00D979B1" w:rsidRPr="003E063E" w:rsidRDefault="00D979B1" w:rsidP="00D979B1">
      <w:pPr>
        <w:rPr>
          <w:rFonts w:ascii="Arial" w:hAnsi="Arial" w:cs="Arial"/>
        </w:rPr>
      </w:pPr>
    </w:p>
    <w:p w14:paraId="40A97214" w14:textId="46F2205F" w:rsidR="00D979B1" w:rsidRPr="00D57F9F" w:rsidRDefault="00D979B1" w:rsidP="00F1422F">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Rock lobsters are predators of molluscs and other invertebrates</w:t>
      </w:r>
      <w:r>
        <w:rPr>
          <w:rFonts w:ascii="Arial" w:hAnsi="Arial" w:cs="Arial"/>
          <w:szCs w:val="20"/>
        </w:rPr>
        <w:t>,</w:t>
      </w:r>
      <w:r w:rsidRPr="00D57F9F">
        <w:rPr>
          <w:rFonts w:ascii="Arial" w:hAnsi="Arial" w:cs="Arial"/>
          <w:szCs w:val="20"/>
        </w:rPr>
        <w:t xml:space="preserve"> and predation on rock lobsters is known from octopus, blue cod, groper, southern dogfish, rig and seals. Predation by rock lobsters has been suggested as contributing to trophic cascades in a number of studies in New Zealand, particularly in the Greater Hauraki Gulf (i.e. if fished predators such as rock lobster, snapper and blue cod are reduced to certain levels urchin-grazed kelp ‘barrens’ can form). However, </w:t>
      </w:r>
      <w:r w:rsidR="000C4B0D">
        <w:rPr>
          <w:rFonts w:ascii="Arial" w:hAnsi="Arial" w:cs="Arial"/>
          <w:szCs w:val="20"/>
        </w:rPr>
        <w:t>other research suggests that the loss of kelp beds is driven by other factors such as change in water temperature, increasing sedimentation, storms and poor nutrients. A</w:t>
      </w:r>
      <w:r w:rsidRPr="00D57F9F">
        <w:rPr>
          <w:rFonts w:ascii="Arial" w:hAnsi="Arial" w:cs="Arial"/>
          <w:szCs w:val="20"/>
        </w:rPr>
        <w:t xml:space="preserve"> literature review (Breen unpublished) suggests that the evidence for lobster-driven trophic cascades at a national scale is limited.</w:t>
      </w:r>
    </w:p>
    <w:p w14:paraId="3F8A41D5" w14:textId="77777777" w:rsidR="00D979B1" w:rsidRDefault="00D979B1" w:rsidP="00D979B1">
      <w:pPr>
        <w:pStyle w:val="Heading3"/>
      </w:pPr>
      <w:r>
        <w:t>Biological characteristics and environmental conditions</w:t>
      </w:r>
    </w:p>
    <w:p w14:paraId="360C56AE" w14:textId="77777777" w:rsidR="00D979B1" w:rsidRDefault="00D979B1" w:rsidP="00F1422F">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 xml:space="preserve">When setting a TAC under section 13, the Minister must also have regard to the biological characteristics of the stock and any environmental conditions affecting the stock. A variety of environmental factors are thought to influence the productivity of rock lobster populations, including water temperature, ocean currents, latitude, shelter </w:t>
      </w:r>
      <w:r w:rsidRPr="00D57F9F">
        <w:rPr>
          <w:rFonts w:ascii="Arial" w:hAnsi="Arial" w:cs="Arial"/>
          <w:szCs w:val="20"/>
        </w:rPr>
        <w:lastRenderedPageBreak/>
        <w:t xml:space="preserve">availability, and food availability. Studies have shown that lobsters grow at different rates around New Zealand and female lobsters become mature at different sizes. </w:t>
      </w:r>
    </w:p>
    <w:p w14:paraId="126623EF" w14:textId="77777777" w:rsidR="00D979B1" w:rsidRPr="00D57F9F" w:rsidRDefault="00D979B1" w:rsidP="00D979B1">
      <w:pPr>
        <w:pStyle w:val="ListParagraph"/>
        <w:spacing w:after="0" w:line="240" w:lineRule="auto"/>
        <w:ind w:left="567"/>
        <w:jc w:val="left"/>
        <w:rPr>
          <w:rFonts w:ascii="Arial" w:hAnsi="Arial" w:cs="Arial"/>
          <w:szCs w:val="20"/>
        </w:rPr>
      </w:pPr>
    </w:p>
    <w:p w14:paraId="737D4FAD" w14:textId="77777777" w:rsidR="00D979B1" w:rsidRPr="00D57F9F" w:rsidRDefault="00D979B1" w:rsidP="00F1422F">
      <w:pPr>
        <w:pStyle w:val="ListParagraph"/>
        <w:numPr>
          <w:ilvl w:val="0"/>
          <w:numId w:val="26"/>
        </w:numPr>
        <w:spacing w:after="0" w:line="240" w:lineRule="auto"/>
        <w:ind w:left="567" w:hanging="567"/>
        <w:jc w:val="left"/>
        <w:rPr>
          <w:rFonts w:ascii="Arial" w:hAnsi="Arial" w:cs="Arial"/>
          <w:szCs w:val="20"/>
        </w:rPr>
      </w:pPr>
      <w:r w:rsidRPr="00D57F9F">
        <w:rPr>
          <w:rFonts w:ascii="Arial" w:hAnsi="Arial" w:cs="Arial"/>
          <w:szCs w:val="20"/>
        </w:rPr>
        <w:t>Variability in growth, maturity, available abundance, and recruitment were taken into account during the development of management procedures for the rock lobster stocks discussed in this paper.</w:t>
      </w:r>
    </w:p>
    <w:p w14:paraId="2966A778" w14:textId="77777777" w:rsidR="00D979B1" w:rsidRPr="00851973" w:rsidRDefault="00D979B1" w:rsidP="00D979B1">
      <w:pPr>
        <w:pStyle w:val="ListParagraph"/>
        <w:spacing w:after="0" w:line="240" w:lineRule="auto"/>
        <w:ind w:left="0"/>
        <w:contextualSpacing w:val="0"/>
        <w:rPr>
          <w:rFonts w:ascii="Times New Roman" w:hAnsi="Times New Roman"/>
          <w:sz w:val="24"/>
          <w:szCs w:val="24"/>
        </w:rPr>
      </w:pPr>
    </w:p>
    <w:p w14:paraId="623377BD" w14:textId="60BC2AF8" w:rsidR="00D979B1" w:rsidRPr="003C7A79" w:rsidRDefault="00D979B1" w:rsidP="009D1C04">
      <w:pPr>
        <w:pStyle w:val="Heading2"/>
        <w:numPr>
          <w:ilvl w:val="0"/>
          <w:numId w:val="0"/>
        </w:numPr>
      </w:pPr>
      <w:bookmarkStart w:id="158" w:name="_Toc531692813"/>
      <w:bookmarkStart w:id="159" w:name="_Toc532471911"/>
      <w:r w:rsidRPr="003C7A79">
        <w:t>Section</w:t>
      </w:r>
      <w:r>
        <w:t>s</w:t>
      </w:r>
      <w:r w:rsidRPr="003C7A79">
        <w:t xml:space="preserve"> 20</w:t>
      </w:r>
      <w:r>
        <w:t xml:space="preserve"> &amp; 21</w:t>
      </w:r>
      <w:r w:rsidRPr="003C7A79">
        <w:t xml:space="preserve"> </w:t>
      </w:r>
      <w:r w:rsidR="005467BA">
        <w:t>- Setting and V</w:t>
      </w:r>
      <w:r>
        <w:t>a</w:t>
      </w:r>
      <w:r w:rsidR="005467BA">
        <w:t>riation of the Total Allowable C</w:t>
      </w:r>
      <w:r>
        <w:t>ommercial Catch</w:t>
      </w:r>
      <w:bookmarkEnd w:id="158"/>
      <w:bookmarkEnd w:id="159"/>
    </w:p>
    <w:p w14:paraId="6B8582FF"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4"/>
        </w:rPr>
      </w:pPr>
      <w:r w:rsidRPr="00426161">
        <w:rPr>
          <w:rFonts w:ascii="Arial" w:hAnsi="Arial" w:cs="Arial"/>
          <w:szCs w:val="24"/>
        </w:rPr>
        <w:t xml:space="preserve">After setting or varying the TAC, a separate decision arises in respect of allocating the TAC. </w:t>
      </w:r>
    </w:p>
    <w:p w14:paraId="7BFF5BB5" w14:textId="77777777" w:rsidR="00D979B1" w:rsidRPr="00426161" w:rsidRDefault="00D979B1" w:rsidP="00D979B1">
      <w:pPr>
        <w:pStyle w:val="ListParagraph"/>
        <w:spacing w:after="0" w:line="240" w:lineRule="auto"/>
        <w:ind w:left="567" w:hanging="567"/>
        <w:contextualSpacing w:val="0"/>
        <w:jc w:val="left"/>
        <w:rPr>
          <w:rFonts w:ascii="Arial" w:hAnsi="Arial" w:cs="Arial"/>
          <w:szCs w:val="24"/>
        </w:rPr>
      </w:pPr>
    </w:p>
    <w:p w14:paraId="0E6E1E53" w14:textId="4DC9511A" w:rsidR="00D979B1" w:rsidRPr="00426161" w:rsidRDefault="00D979B1" w:rsidP="00F1422F">
      <w:pPr>
        <w:pStyle w:val="ListParagraph"/>
        <w:numPr>
          <w:ilvl w:val="0"/>
          <w:numId w:val="26"/>
        </w:numPr>
        <w:spacing w:after="0" w:line="240" w:lineRule="auto"/>
        <w:ind w:left="567" w:hanging="567"/>
        <w:jc w:val="left"/>
        <w:rPr>
          <w:rFonts w:ascii="Arial" w:hAnsi="Arial" w:cs="Arial"/>
          <w:szCs w:val="24"/>
        </w:rPr>
      </w:pPr>
      <w:r w:rsidRPr="00426161">
        <w:rPr>
          <w:rFonts w:ascii="Arial" w:hAnsi="Arial" w:cs="Arial"/>
          <w:szCs w:val="24"/>
        </w:rPr>
        <w:t>When setting a TACC for a stock under section 20 of the Act, section 21 requires the Minister to have regard to the TAC for that stock and allow for Māori customary non-commercial fishing interests, recreational interests, and all other sources of fishing-related mortality to that stock (inclu</w:t>
      </w:r>
      <w:r w:rsidR="00161801">
        <w:rPr>
          <w:rFonts w:ascii="Arial" w:hAnsi="Arial" w:cs="Arial"/>
          <w:szCs w:val="24"/>
        </w:rPr>
        <w:t>ding illegal catch and handling-</w:t>
      </w:r>
      <w:r w:rsidRPr="00426161">
        <w:rPr>
          <w:rFonts w:ascii="Arial" w:hAnsi="Arial" w:cs="Arial"/>
          <w:szCs w:val="24"/>
        </w:rPr>
        <w:t>related mortality).</w:t>
      </w:r>
    </w:p>
    <w:p w14:paraId="318E1B76" w14:textId="77777777" w:rsidR="00D979B1" w:rsidRPr="00426161" w:rsidRDefault="00D979B1" w:rsidP="00D979B1">
      <w:pPr>
        <w:ind w:left="567" w:hanging="567"/>
        <w:rPr>
          <w:rFonts w:ascii="Arial" w:hAnsi="Arial" w:cs="Arial"/>
          <w:sz w:val="22"/>
          <w:szCs w:val="24"/>
        </w:rPr>
      </w:pPr>
    </w:p>
    <w:p w14:paraId="33C05862"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4"/>
        </w:rPr>
      </w:pPr>
      <w:r w:rsidRPr="00426161">
        <w:rPr>
          <w:rFonts w:ascii="Arial" w:hAnsi="Arial" w:cs="Arial"/>
          <w:szCs w:val="24"/>
        </w:rPr>
        <w:t xml:space="preserve">The Act does not provide an explicit statutory mechanism to apportion available catch between sector groups either in terms of a quantitative measure or prioritisation of allocation. Accordingly, the Minister has the discretion to make allowances for various sectors based on best available information. </w:t>
      </w:r>
    </w:p>
    <w:p w14:paraId="750B6B42" w14:textId="77777777" w:rsidR="00D979B1" w:rsidRPr="00426161" w:rsidRDefault="00D979B1" w:rsidP="00D979B1">
      <w:pPr>
        <w:pStyle w:val="ListParagraph"/>
        <w:spacing w:line="240" w:lineRule="auto"/>
        <w:ind w:left="567" w:hanging="567"/>
        <w:jc w:val="left"/>
        <w:rPr>
          <w:rFonts w:ascii="Arial" w:hAnsi="Arial" w:cs="Arial"/>
          <w:szCs w:val="24"/>
        </w:rPr>
      </w:pPr>
    </w:p>
    <w:p w14:paraId="521EC401" w14:textId="77777777" w:rsidR="00D979B1" w:rsidRPr="00426161" w:rsidRDefault="00D979B1" w:rsidP="00F1422F">
      <w:pPr>
        <w:pStyle w:val="ListParagraph"/>
        <w:numPr>
          <w:ilvl w:val="0"/>
          <w:numId w:val="26"/>
        </w:numPr>
        <w:spacing w:after="0" w:line="240" w:lineRule="auto"/>
        <w:ind w:left="567" w:hanging="567"/>
        <w:contextualSpacing w:val="0"/>
        <w:jc w:val="left"/>
        <w:rPr>
          <w:rFonts w:ascii="Arial" w:hAnsi="Arial" w:cs="Arial"/>
          <w:szCs w:val="24"/>
        </w:rPr>
      </w:pPr>
      <w:r w:rsidRPr="00426161">
        <w:rPr>
          <w:rFonts w:ascii="Arial" w:hAnsi="Arial" w:cs="Arial"/>
          <w:szCs w:val="24"/>
        </w:rPr>
        <w:t>The Courts have in a number of cases considered what is involved in allowing for non-commercial interests. In Snapper 1</w:t>
      </w:r>
      <w:r w:rsidRPr="00426161">
        <w:rPr>
          <w:rStyle w:val="FootnoteReference"/>
          <w:rFonts w:ascii="Arial" w:eastAsiaTheme="majorEastAsia" w:hAnsi="Arial" w:cs="Arial"/>
          <w:szCs w:val="24"/>
        </w:rPr>
        <w:footnoteReference w:id="23"/>
      </w:r>
      <w:r w:rsidRPr="00426161">
        <w:rPr>
          <w:rFonts w:ascii="Arial" w:hAnsi="Arial" w:cs="Arial"/>
          <w:szCs w:val="24"/>
        </w:rPr>
        <w:t>, the Court of Appeal said that the recreational allowance is simply the best estimate of what recreational fishers will catch while being subject to the controls which the Minister decides to impose upon them, e.g. bag limits and minimum lawful sizes. Having set the TAC, the Minister in effect apportions it between the relevant interests</w:t>
      </w:r>
      <w:r w:rsidRPr="00426161">
        <w:rPr>
          <w:rStyle w:val="FootnoteReference"/>
          <w:rFonts w:ascii="Arial" w:eastAsiaTheme="majorEastAsia" w:hAnsi="Arial" w:cs="Arial"/>
          <w:szCs w:val="24"/>
        </w:rPr>
        <w:footnoteReference w:id="24"/>
      </w:r>
      <w:r w:rsidRPr="00426161">
        <w:rPr>
          <w:rFonts w:ascii="Arial" w:hAnsi="Arial" w:cs="Arial"/>
          <w:szCs w:val="24"/>
        </w:rPr>
        <w:t>.</w:t>
      </w:r>
    </w:p>
    <w:p w14:paraId="01522C1D" w14:textId="77777777" w:rsidR="00D979B1" w:rsidRPr="00426161" w:rsidRDefault="00D979B1" w:rsidP="00D979B1">
      <w:pPr>
        <w:pStyle w:val="ListParagraph"/>
        <w:spacing w:after="0" w:line="240" w:lineRule="auto"/>
        <w:ind w:left="567" w:hanging="567"/>
        <w:contextualSpacing w:val="0"/>
        <w:jc w:val="left"/>
        <w:rPr>
          <w:rFonts w:ascii="Arial" w:hAnsi="Arial" w:cs="Arial"/>
          <w:szCs w:val="24"/>
        </w:rPr>
      </w:pPr>
    </w:p>
    <w:p w14:paraId="48730E88" w14:textId="77777777" w:rsidR="00D979B1" w:rsidRPr="00426161" w:rsidRDefault="00D979B1" w:rsidP="00F1422F">
      <w:pPr>
        <w:pStyle w:val="ListParagraph"/>
        <w:numPr>
          <w:ilvl w:val="0"/>
          <w:numId w:val="26"/>
        </w:numPr>
        <w:spacing w:after="0" w:line="240" w:lineRule="auto"/>
        <w:ind w:left="567" w:hanging="567"/>
        <w:contextualSpacing w:val="0"/>
        <w:jc w:val="left"/>
        <w:rPr>
          <w:rFonts w:ascii="Arial" w:hAnsi="Arial" w:cs="Arial"/>
          <w:szCs w:val="24"/>
        </w:rPr>
      </w:pPr>
      <w:r w:rsidRPr="00426161">
        <w:rPr>
          <w:rFonts w:ascii="Arial" w:hAnsi="Arial" w:cs="Arial"/>
          <w:szCs w:val="24"/>
        </w:rPr>
        <w:t>The Supreme Court in Kahawai</w:t>
      </w:r>
      <w:r w:rsidRPr="00426161">
        <w:rPr>
          <w:rStyle w:val="FootnoteReference"/>
          <w:rFonts w:ascii="Arial" w:eastAsiaTheme="majorEastAsia" w:hAnsi="Arial" w:cs="Arial"/>
          <w:szCs w:val="24"/>
        </w:rPr>
        <w:footnoteReference w:id="25"/>
      </w:r>
      <w:r w:rsidRPr="00426161">
        <w:rPr>
          <w:rFonts w:ascii="Arial" w:hAnsi="Arial" w:cs="Arial"/>
          <w:szCs w:val="24"/>
        </w:rPr>
        <w:t xml:space="preserve"> endorsed this approach and said that the words “allow for” require the Minister both to take into account the interests and make provision for them in the calculation of the TACC</w:t>
      </w:r>
      <w:r w:rsidRPr="00426161">
        <w:rPr>
          <w:rStyle w:val="FootnoteReference"/>
          <w:rFonts w:ascii="Arial" w:eastAsiaTheme="majorEastAsia" w:hAnsi="Arial" w:cs="Arial"/>
          <w:szCs w:val="24"/>
        </w:rPr>
        <w:footnoteReference w:id="26"/>
      </w:r>
      <w:r w:rsidRPr="00426161">
        <w:rPr>
          <w:rFonts w:ascii="Arial" w:hAnsi="Arial" w:cs="Arial"/>
          <w:szCs w:val="24"/>
        </w:rPr>
        <w:t>. The Supreme Court went on to say that sections 20 and 21 prescribe a framework within which the Minister must operate when setting the TACC. The framework requires apportionment of the TAC by the Minister among the various interests and other mortality. The sequential nature of the method of allocation provided for in section 21 does not indicate that non-commercial fishing interests are to be given any substantive priority over commercial interests. In particular, the allowance for recreational interests is to be made keeping commercial interests in mind</w:t>
      </w:r>
      <w:r w:rsidRPr="00426161">
        <w:rPr>
          <w:rStyle w:val="FootnoteReference"/>
          <w:rFonts w:ascii="Arial" w:eastAsiaTheme="majorEastAsia" w:hAnsi="Arial" w:cs="Arial"/>
          <w:szCs w:val="24"/>
        </w:rPr>
        <w:footnoteReference w:id="27"/>
      </w:r>
      <w:r w:rsidRPr="00426161">
        <w:rPr>
          <w:rFonts w:ascii="Arial" w:hAnsi="Arial" w:cs="Arial"/>
          <w:szCs w:val="24"/>
        </w:rPr>
        <w:t>.</w:t>
      </w:r>
    </w:p>
    <w:p w14:paraId="01014184" w14:textId="77777777" w:rsidR="00D979B1" w:rsidRPr="00426161" w:rsidRDefault="00D979B1" w:rsidP="00D979B1">
      <w:pPr>
        <w:pStyle w:val="ListParagraph"/>
        <w:spacing w:after="0" w:line="240" w:lineRule="auto"/>
        <w:ind w:left="567" w:hanging="567"/>
        <w:contextualSpacing w:val="0"/>
        <w:jc w:val="left"/>
        <w:rPr>
          <w:rFonts w:ascii="Arial" w:hAnsi="Arial" w:cs="Arial"/>
          <w:szCs w:val="24"/>
        </w:rPr>
      </w:pPr>
    </w:p>
    <w:p w14:paraId="283B162F" w14:textId="77777777" w:rsidR="00D979B1" w:rsidRPr="00426161" w:rsidRDefault="00D979B1" w:rsidP="00F1422F">
      <w:pPr>
        <w:pStyle w:val="ListParagraph"/>
        <w:numPr>
          <w:ilvl w:val="0"/>
          <w:numId w:val="26"/>
        </w:numPr>
        <w:spacing w:after="0" w:line="240" w:lineRule="auto"/>
        <w:ind w:left="567" w:hanging="567"/>
        <w:contextualSpacing w:val="0"/>
        <w:jc w:val="left"/>
        <w:rPr>
          <w:rFonts w:ascii="Arial" w:hAnsi="Arial" w:cs="Arial"/>
          <w:szCs w:val="24"/>
        </w:rPr>
      </w:pPr>
      <w:r w:rsidRPr="00426161">
        <w:rPr>
          <w:rFonts w:ascii="Arial" w:hAnsi="Arial" w:cs="Arial"/>
          <w:szCs w:val="24"/>
        </w:rPr>
        <w:t>The Supreme Court further said that in the end, within the limits provided for by the Act, the Minister makes a policy decision as to what allocations are appropriate for non-commercial interests and other mortality, and what is to be the TACC. These decisions are interdependent. The Act does not confer priority for any interests over the other. It leaves that to the Minister’s judgment.</w:t>
      </w:r>
      <w:r w:rsidRPr="00426161">
        <w:rPr>
          <w:rStyle w:val="FootnoteReference"/>
          <w:rFonts w:ascii="Arial" w:eastAsiaTheme="majorEastAsia" w:hAnsi="Arial" w:cs="Arial"/>
          <w:szCs w:val="24"/>
        </w:rPr>
        <w:footnoteReference w:id="28"/>
      </w:r>
    </w:p>
    <w:p w14:paraId="7DCEC983" w14:textId="77777777" w:rsidR="00D979B1" w:rsidRPr="00426161" w:rsidRDefault="00D979B1" w:rsidP="00D979B1">
      <w:pPr>
        <w:pStyle w:val="ListParagraph"/>
        <w:spacing w:after="0" w:line="240" w:lineRule="auto"/>
        <w:ind w:left="567" w:hanging="567"/>
        <w:contextualSpacing w:val="0"/>
        <w:jc w:val="left"/>
        <w:rPr>
          <w:rFonts w:ascii="Arial" w:hAnsi="Arial" w:cs="Arial"/>
          <w:szCs w:val="24"/>
        </w:rPr>
      </w:pPr>
    </w:p>
    <w:p w14:paraId="01159407" w14:textId="77777777" w:rsidR="00D979B1" w:rsidRPr="00426161" w:rsidRDefault="00D979B1" w:rsidP="00F1422F">
      <w:pPr>
        <w:pStyle w:val="ListParagraph"/>
        <w:numPr>
          <w:ilvl w:val="0"/>
          <w:numId w:val="26"/>
        </w:numPr>
        <w:spacing w:after="0" w:line="240" w:lineRule="auto"/>
        <w:ind w:left="567" w:hanging="567"/>
        <w:contextualSpacing w:val="0"/>
        <w:jc w:val="left"/>
        <w:rPr>
          <w:rFonts w:ascii="Arial" w:hAnsi="Arial" w:cs="Arial"/>
          <w:szCs w:val="24"/>
        </w:rPr>
      </w:pPr>
      <w:r w:rsidRPr="00426161">
        <w:rPr>
          <w:rFonts w:ascii="Arial" w:hAnsi="Arial" w:cs="Arial"/>
          <w:szCs w:val="24"/>
        </w:rPr>
        <w:t>The Courts have also commented on the Minister’s responsibilities in respect of allowances. The allowance represents what the Minister considers recreational interests should be able to catch, but also all that they will be able to catch. The Act envisages that the relevant powers will be exercised as necessary to achieve that goal.</w:t>
      </w:r>
      <w:r w:rsidRPr="00426161">
        <w:rPr>
          <w:rStyle w:val="FootnoteReference"/>
          <w:rFonts w:ascii="Arial" w:eastAsiaTheme="majorEastAsia" w:hAnsi="Arial" w:cs="Arial"/>
          <w:szCs w:val="24"/>
        </w:rPr>
        <w:footnoteReference w:id="29"/>
      </w:r>
      <w:r w:rsidRPr="00426161">
        <w:rPr>
          <w:rFonts w:ascii="Arial" w:hAnsi="Arial" w:cs="Arial"/>
          <w:szCs w:val="24"/>
        </w:rPr>
        <w:t xml:space="preserve"> Both the law and common sense dictate that a Minister should not reduce the TACC for conservation reasons unless able to take, and taking, reasonable steps to avoid the reduction being rendered futile through increased recreational fishing.</w:t>
      </w:r>
      <w:r w:rsidRPr="00426161">
        <w:rPr>
          <w:rStyle w:val="FootnoteReference"/>
          <w:rFonts w:ascii="Arial" w:eastAsiaTheme="majorEastAsia" w:hAnsi="Arial" w:cs="Arial"/>
          <w:szCs w:val="24"/>
        </w:rPr>
        <w:footnoteReference w:id="30"/>
      </w:r>
    </w:p>
    <w:p w14:paraId="33DC7BED" w14:textId="77777777" w:rsidR="00D979B1" w:rsidRPr="00426161" w:rsidRDefault="00D979B1" w:rsidP="00D979B1">
      <w:pPr>
        <w:ind w:left="567" w:hanging="567"/>
        <w:rPr>
          <w:rFonts w:ascii="Arial" w:hAnsi="Arial" w:cs="Arial"/>
          <w:sz w:val="22"/>
          <w:szCs w:val="24"/>
        </w:rPr>
      </w:pPr>
    </w:p>
    <w:p w14:paraId="2C8B1375" w14:textId="77777777" w:rsidR="00D979B1" w:rsidRPr="00426161" w:rsidRDefault="00D979B1" w:rsidP="00F1422F">
      <w:pPr>
        <w:pStyle w:val="ListParagraph"/>
        <w:numPr>
          <w:ilvl w:val="0"/>
          <w:numId w:val="26"/>
        </w:numPr>
        <w:spacing w:after="0" w:line="240" w:lineRule="auto"/>
        <w:ind w:left="567" w:hanging="567"/>
        <w:jc w:val="left"/>
        <w:rPr>
          <w:rFonts w:ascii="Arial" w:hAnsi="Arial" w:cs="Arial"/>
          <w:szCs w:val="24"/>
        </w:rPr>
      </w:pPr>
      <w:r w:rsidRPr="00426161">
        <w:rPr>
          <w:rFonts w:ascii="Arial" w:hAnsi="Arial" w:cs="Arial"/>
          <w:szCs w:val="24"/>
        </w:rPr>
        <w:t>When allowing for Māori customary non-commercial fishing interests, the Minister must take into account any relevant mātaitai reserves within the relevant quota management areas and any area closure or fishing method restriction or prohibition within those areas made under section 186A of the Act. There are a number of mātaitai reserves and temporary closures that fall within the areas of the rock lobster stocks discussed in this document. The intent is that the purpose of measures enacted to provide for customary fishing are not adversely affected, or reasons for limited customary take are ignored, when setting the customary allowance.</w:t>
      </w:r>
    </w:p>
    <w:p w14:paraId="6E76451B" w14:textId="77777777" w:rsidR="00D979B1" w:rsidRPr="00426161" w:rsidRDefault="00D979B1" w:rsidP="00D979B1">
      <w:pPr>
        <w:pStyle w:val="ListParagraph"/>
        <w:spacing w:line="240" w:lineRule="auto"/>
        <w:ind w:left="567" w:hanging="567"/>
        <w:jc w:val="left"/>
        <w:rPr>
          <w:rFonts w:ascii="Arial" w:hAnsi="Arial" w:cs="Arial"/>
          <w:szCs w:val="24"/>
        </w:rPr>
      </w:pPr>
    </w:p>
    <w:p w14:paraId="4A461DF2" w14:textId="77777777" w:rsidR="00D979B1" w:rsidRPr="00426161" w:rsidRDefault="00D979B1" w:rsidP="00F1422F">
      <w:pPr>
        <w:pStyle w:val="ListParagraph"/>
        <w:numPr>
          <w:ilvl w:val="0"/>
          <w:numId w:val="26"/>
        </w:numPr>
        <w:spacing w:after="0" w:line="240" w:lineRule="auto"/>
        <w:ind w:left="567" w:hanging="567"/>
        <w:contextualSpacing w:val="0"/>
        <w:jc w:val="left"/>
        <w:rPr>
          <w:rFonts w:ascii="Arial" w:hAnsi="Arial" w:cs="Arial"/>
          <w:szCs w:val="24"/>
        </w:rPr>
      </w:pPr>
      <w:r w:rsidRPr="00426161">
        <w:rPr>
          <w:rFonts w:ascii="Arial" w:hAnsi="Arial" w:cs="Arial"/>
          <w:szCs w:val="24"/>
        </w:rPr>
        <w:t>When allowing for recreational interests, the Minister must take into account any regulations made under section 311 of the Act that close an area or areas to commercial fishing for a stock. There are currently no section 311 regulations applying in the areas of the rock lobster stocks discussed in this paper.</w:t>
      </w:r>
    </w:p>
    <w:p w14:paraId="7EF7BC2E" w14:textId="77777777" w:rsidR="00D979B1" w:rsidRDefault="00D979B1" w:rsidP="00D979B1">
      <w:pPr>
        <w:tabs>
          <w:tab w:val="left" w:pos="8250"/>
        </w:tabs>
        <w:rPr>
          <w:rFonts w:ascii="Times New Roman" w:hAnsi="Times New Roman"/>
        </w:rPr>
      </w:pPr>
    </w:p>
    <w:p w14:paraId="58D8165B" w14:textId="77777777" w:rsidR="002B7E06" w:rsidRDefault="002B7E06" w:rsidP="00D979B1"/>
    <w:sectPr w:rsidR="002B7E06" w:rsidSect="001E5202">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60F2D" w14:textId="77777777" w:rsidR="0054406D" w:rsidRDefault="0054406D" w:rsidP="001E5202">
      <w:r>
        <w:separator/>
      </w:r>
    </w:p>
  </w:endnote>
  <w:endnote w:type="continuationSeparator" w:id="0">
    <w:p w14:paraId="6747D9C2" w14:textId="77777777" w:rsidR="0054406D" w:rsidRDefault="0054406D" w:rsidP="001E5202">
      <w:r>
        <w:continuationSeparator/>
      </w:r>
    </w:p>
  </w:endnote>
  <w:endnote w:type="continuationNotice" w:id="1">
    <w:p w14:paraId="3EB1B2CD" w14:textId="77777777" w:rsidR="0054406D" w:rsidRDefault="00544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Mäori">
    <w:panose1 w:val="0202060305040502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03711" w14:textId="77777777" w:rsidR="0054406D" w:rsidRDefault="0054406D" w:rsidP="001E5202">
    <w:pPr>
      <w:pStyle w:val="Footer"/>
      <w:pBdr>
        <w:top w:val="single" w:sz="4" w:space="1" w:color="auto"/>
      </w:pBdr>
      <w:tabs>
        <w:tab w:val="clear" w:pos="4320"/>
        <w:tab w:val="clear" w:pos="8640"/>
        <w:tab w:val="right" w:pos="9072"/>
      </w:tabs>
    </w:pPr>
    <w:r w:rsidRPr="0063707E">
      <w:rPr>
        <w:rStyle w:val="PageNumber"/>
      </w:rPr>
      <w:fldChar w:fldCharType="begin"/>
    </w:r>
    <w:r w:rsidRPr="0063707E">
      <w:rPr>
        <w:rStyle w:val="PageNumber"/>
      </w:rPr>
      <w:instrText xml:space="preserve"> PAGE </w:instrText>
    </w:r>
    <w:r w:rsidRPr="0063707E">
      <w:rPr>
        <w:rStyle w:val="PageNumber"/>
      </w:rPr>
      <w:fldChar w:fldCharType="separate"/>
    </w:r>
    <w:r>
      <w:rPr>
        <w:rStyle w:val="PageNumber"/>
        <w:noProof/>
      </w:rPr>
      <w:t>2</w:t>
    </w:r>
    <w:r w:rsidRPr="0063707E">
      <w:rPr>
        <w:rStyle w:val="PageNumber"/>
      </w:rPr>
      <w:fldChar w:fldCharType="end"/>
    </w:r>
    <w:r>
      <w:rPr>
        <w:rStyle w:val="PageNumber"/>
      </w:rPr>
      <w:t xml:space="preserve"> </w:t>
    </w:r>
    <w:r w:rsidRPr="0063707E">
      <w:sym w:font="Symbol" w:char="F0B7"/>
    </w:r>
    <w:r>
      <w:t xml:space="preserve"> Review of CRA 3, 4 &amp; 8 for 2019/20                                     Fisheries New Zealand and the National Rock Lobster Management Group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7F29D" w14:textId="77777777" w:rsidR="0054406D" w:rsidRDefault="0054406D">
    <w:pPr>
      <w:pStyle w:val="Footer"/>
    </w:pPr>
    <w:r>
      <w:rPr>
        <w:noProof/>
        <w:lang w:eastAsia="en-NZ"/>
      </w:rPr>
      <w:drawing>
        <wp:anchor distT="0" distB="0" distL="114300" distR="114300" simplePos="0" relativeHeight="251658240" behindDoc="0" locked="0" layoutInCell="1" allowOverlap="1" wp14:anchorId="03179EA1" wp14:editId="3C2D44AE">
          <wp:simplePos x="0" y="0"/>
          <wp:positionH relativeFrom="column">
            <wp:posOffset>2783205</wp:posOffset>
          </wp:positionH>
          <wp:positionV relativeFrom="paragraph">
            <wp:posOffset>55228</wp:posOffset>
          </wp:positionV>
          <wp:extent cx="1656080" cy="168910"/>
          <wp:effectExtent l="0" t="0" r="1270" b="2540"/>
          <wp:wrapNone/>
          <wp:docPr id="36" name="Picture 36" descr="new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zealand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58241" behindDoc="1" locked="0" layoutInCell="1" allowOverlap="1" wp14:anchorId="2FB097EA" wp14:editId="24C0A82D">
              <wp:simplePos x="0" y="0"/>
              <wp:positionH relativeFrom="column">
                <wp:posOffset>-2270760</wp:posOffset>
              </wp:positionH>
              <wp:positionV relativeFrom="paragraph">
                <wp:posOffset>295258</wp:posOffset>
              </wp:positionV>
              <wp:extent cx="7658100" cy="914400"/>
              <wp:effectExtent l="0" t="0" r="0" b="0"/>
              <wp:wrapNone/>
              <wp:docPr id="241" name="Rectangle 241"/>
              <wp:cNvGraphicFramePr/>
              <a:graphic xmlns:a="http://schemas.openxmlformats.org/drawingml/2006/main">
                <a:graphicData uri="http://schemas.microsoft.com/office/word/2010/wordprocessingShape">
                  <wps:wsp>
                    <wps:cNvSpPr/>
                    <wps:spPr>
                      <a:xfrm>
                        <a:off x="0" y="0"/>
                        <a:ext cx="7658100" cy="914400"/>
                      </a:xfrm>
                      <a:prstGeom prst="rect">
                        <a:avLst/>
                      </a:prstGeom>
                      <a:solidFill>
                        <a:srgbClr val="077E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BE9F" id="Rectangle 241" o:spid="_x0000_s1026" style="position:absolute;margin-left:-178.8pt;margin-top:23.25pt;width:603pt;height:1in;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" fillcolor="#077e9f" stroked="f"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A66F4" w14:textId="40CAEABE" w:rsidR="0054406D" w:rsidRPr="00197590" w:rsidRDefault="0054406D" w:rsidP="001975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148A6" w14:textId="77777777" w:rsidR="0054406D" w:rsidRDefault="005440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159BC" w14:textId="439C5310" w:rsidR="0054406D" w:rsidRDefault="0054406D" w:rsidP="00197590">
    <w:pPr>
      <w:pStyle w:val="Footer"/>
      <w:pBdr>
        <w:top w:val="single" w:sz="4" w:space="1" w:color="auto"/>
      </w:pBdr>
      <w:tabs>
        <w:tab w:val="clear" w:pos="4320"/>
        <w:tab w:val="clear" w:pos="8640"/>
        <w:tab w:val="right" w:pos="9072"/>
      </w:tabs>
      <w:jc w:val="center"/>
    </w:pPr>
    <w:r w:rsidRPr="0063707E">
      <w:rPr>
        <w:rStyle w:val="PageNumber"/>
      </w:rPr>
      <w:fldChar w:fldCharType="begin"/>
    </w:r>
    <w:r w:rsidRPr="0063707E">
      <w:rPr>
        <w:rStyle w:val="PageNumber"/>
      </w:rPr>
      <w:instrText xml:space="preserve"> PAGE </w:instrText>
    </w:r>
    <w:r w:rsidRPr="0063707E">
      <w:rPr>
        <w:rStyle w:val="PageNumber"/>
      </w:rPr>
      <w:fldChar w:fldCharType="separate"/>
    </w:r>
    <w:r w:rsidR="00233783">
      <w:rPr>
        <w:rStyle w:val="PageNumber"/>
        <w:noProof/>
      </w:rPr>
      <w:t>i</w:t>
    </w:r>
    <w:r w:rsidRPr="0063707E">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E0F7E" w14:textId="31427960" w:rsidR="0054406D" w:rsidRPr="0063707E" w:rsidRDefault="0054406D">
    <w:pPr>
      <w:pStyle w:val="Footer"/>
      <w:pBdr>
        <w:top w:val="single" w:sz="4" w:space="1" w:color="auto"/>
      </w:pBdr>
      <w:tabs>
        <w:tab w:val="clear" w:pos="4320"/>
        <w:tab w:val="clear" w:pos="8640"/>
        <w:tab w:val="right" w:pos="9072"/>
      </w:tabs>
    </w:pPr>
    <w:r w:rsidRPr="0063707E">
      <w:rPr>
        <w:rStyle w:val="PageNumber"/>
      </w:rPr>
      <w:fldChar w:fldCharType="begin"/>
    </w:r>
    <w:r w:rsidRPr="0063707E">
      <w:rPr>
        <w:rStyle w:val="PageNumber"/>
      </w:rPr>
      <w:instrText xml:space="preserve"> PAGE </w:instrText>
    </w:r>
    <w:r w:rsidRPr="0063707E">
      <w:rPr>
        <w:rStyle w:val="PageNumber"/>
      </w:rPr>
      <w:fldChar w:fldCharType="separate"/>
    </w:r>
    <w:r w:rsidR="00233783">
      <w:rPr>
        <w:rStyle w:val="PageNumber"/>
        <w:noProof/>
      </w:rPr>
      <w:t>16</w:t>
    </w:r>
    <w:r w:rsidRPr="0063707E">
      <w:rPr>
        <w:rStyle w:val="PageNumber"/>
      </w:rPr>
      <w:fldChar w:fldCharType="end"/>
    </w:r>
    <w:r w:rsidRPr="0063707E">
      <w:rPr>
        <w:rStyle w:val="PageNumber"/>
      </w:rPr>
      <w:t xml:space="preserve"> </w:t>
    </w:r>
    <w:r w:rsidRPr="0063707E">
      <w:sym w:font="Symbol" w:char="F0B7"/>
    </w:r>
    <w:r>
      <w:t xml:space="preserve"> Review of sustainability measures for CRA 3, 4 &amp; 8 for 2019/20</w:t>
    </w:r>
    <w:r w:rsidRPr="0063707E">
      <w:rPr>
        <w:rStyle w:val="PageNumber"/>
      </w:rPr>
      <w:tab/>
    </w:r>
    <w:r>
      <w:t>Fisheries New Zealand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19D17" w14:textId="77777777" w:rsidR="0054406D" w:rsidRDefault="0054406D" w:rsidP="00795983"/>
  <w:p w14:paraId="0E06BCDD" w14:textId="1D0894DE" w:rsidR="0054406D" w:rsidRPr="00C57E79" w:rsidRDefault="0054406D" w:rsidP="00795983">
    <w:pPr>
      <w:pStyle w:val="Footer"/>
      <w:pBdr>
        <w:top w:val="single" w:sz="4" w:space="1" w:color="auto"/>
      </w:pBdr>
      <w:tabs>
        <w:tab w:val="clear" w:pos="4320"/>
        <w:tab w:val="clear" w:pos="8640"/>
        <w:tab w:val="right" w:pos="9072"/>
      </w:tabs>
    </w:pPr>
    <w:r>
      <w:t xml:space="preserve">Fisheries New Zealand </w:t>
    </w:r>
    <w:r>
      <w:tab/>
      <w:t xml:space="preserve">                                     Review of CRA 3, 4 &amp; 8 for 2019/20 </w:t>
    </w:r>
    <w:r w:rsidRPr="00C57E79">
      <w:sym w:font="Symbol" w:char="F0B7"/>
    </w:r>
    <w:r>
      <w:t xml:space="preserve"> </w:t>
    </w:r>
    <w:r w:rsidRPr="00C57E79">
      <w:rPr>
        <w:rStyle w:val="PageNumber"/>
      </w:rPr>
      <w:fldChar w:fldCharType="begin"/>
    </w:r>
    <w:r w:rsidRPr="00C57E79">
      <w:rPr>
        <w:rStyle w:val="PageNumber"/>
      </w:rPr>
      <w:instrText xml:space="preserve"> PAGE </w:instrText>
    </w:r>
    <w:r w:rsidRPr="00C57E79">
      <w:rPr>
        <w:rStyle w:val="PageNumber"/>
      </w:rPr>
      <w:fldChar w:fldCharType="separate"/>
    </w:r>
    <w:r w:rsidR="00233783">
      <w:rPr>
        <w:rStyle w:val="PageNumber"/>
        <w:noProof/>
      </w:rPr>
      <w:t>1</w:t>
    </w:r>
    <w:r w:rsidRPr="00C57E79">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D10D9" w14:textId="0FE57FCC" w:rsidR="0054406D" w:rsidRDefault="0054406D" w:rsidP="001E5202">
    <w:pPr>
      <w:pStyle w:val="Footer"/>
      <w:pBdr>
        <w:top w:val="single" w:sz="4" w:space="1" w:color="auto"/>
      </w:pBdr>
      <w:tabs>
        <w:tab w:val="clear" w:pos="4320"/>
        <w:tab w:val="clear" w:pos="8640"/>
        <w:tab w:val="right" w:pos="9072"/>
      </w:tabs>
    </w:pPr>
    <w:r>
      <w:t>Fisheries New Zealand</w:t>
    </w:r>
    <w:r>
      <w:tab/>
      <w:t xml:space="preserve">Review of sustainability measures for CRA 3, 4 &amp; 8 for 2019/20 </w:t>
    </w:r>
    <w:r w:rsidRPr="0063707E">
      <w:sym w:font="Symbol" w:char="F0B7"/>
    </w:r>
    <w:r>
      <w:t xml:space="preserve"> </w:t>
    </w:r>
    <w:r w:rsidRPr="0063707E">
      <w:rPr>
        <w:rStyle w:val="PageNumber"/>
      </w:rPr>
      <w:fldChar w:fldCharType="begin"/>
    </w:r>
    <w:r w:rsidRPr="0063707E">
      <w:rPr>
        <w:rStyle w:val="PageNumber"/>
      </w:rPr>
      <w:instrText xml:space="preserve"> PAGE </w:instrText>
    </w:r>
    <w:r w:rsidRPr="0063707E">
      <w:rPr>
        <w:rStyle w:val="PageNumber"/>
      </w:rPr>
      <w:fldChar w:fldCharType="separate"/>
    </w:r>
    <w:r w:rsidR="00233783">
      <w:rPr>
        <w:rStyle w:val="PageNumber"/>
        <w:noProof/>
      </w:rPr>
      <w:t>17</w:t>
    </w:r>
    <w:r w:rsidRPr="0063707E">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2E00A" w14:textId="77777777" w:rsidR="0054406D" w:rsidRDefault="0054406D" w:rsidP="001E5202">
      <w:r>
        <w:separator/>
      </w:r>
    </w:p>
  </w:footnote>
  <w:footnote w:type="continuationSeparator" w:id="0">
    <w:p w14:paraId="4A8629AA" w14:textId="77777777" w:rsidR="0054406D" w:rsidRDefault="0054406D" w:rsidP="001E5202">
      <w:r>
        <w:continuationSeparator/>
      </w:r>
    </w:p>
  </w:footnote>
  <w:footnote w:type="continuationNotice" w:id="1">
    <w:p w14:paraId="4E22A115" w14:textId="77777777" w:rsidR="0054406D" w:rsidRDefault="0054406D"/>
  </w:footnote>
  <w:footnote w:id="2">
    <w:p w14:paraId="5221BF8B" w14:textId="77777777" w:rsidR="0054406D" w:rsidRPr="00CD067B" w:rsidRDefault="0054406D" w:rsidP="00786D81">
      <w:pPr>
        <w:pStyle w:val="FootnoteText"/>
        <w:rPr>
          <w:rFonts w:ascii="Arial Narrow" w:hAnsi="Arial Narrow"/>
        </w:rPr>
      </w:pPr>
      <w:r w:rsidRPr="00CD067B">
        <w:rPr>
          <w:rStyle w:val="FootnoteReference"/>
          <w:rFonts w:ascii="Arial Narrow" w:eastAsiaTheme="majorEastAsia" w:hAnsi="Arial Narrow"/>
        </w:rPr>
        <w:footnoteRef/>
      </w:r>
      <w:r w:rsidRPr="00CD067B">
        <w:rPr>
          <w:rFonts w:ascii="Arial Narrow" w:hAnsi="Arial Narrow"/>
        </w:rPr>
        <w:t xml:space="preserve"> Standardised commercial CPUE from October to September (“offset year CPUE”) is used as an input to all the management procedures discussed in this document. Use of offset year CPUE ensures the most up-to-date CPUE information is used in management procedure evaluations and decision-making.</w:t>
      </w:r>
    </w:p>
  </w:footnote>
  <w:footnote w:id="3">
    <w:p w14:paraId="73BE0977" w14:textId="77777777" w:rsidR="0054406D" w:rsidRPr="00F0167F" w:rsidRDefault="0054406D" w:rsidP="00786D81">
      <w:pPr>
        <w:pStyle w:val="FootnoteText"/>
        <w:rPr>
          <w:rFonts w:ascii="Arial Narrow" w:hAnsi="Arial Narrow"/>
          <w:sz w:val="18"/>
          <w:szCs w:val="18"/>
        </w:rPr>
      </w:pPr>
      <w:r w:rsidRPr="00CD067B">
        <w:rPr>
          <w:rStyle w:val="FootnoteReference"/>
          <w:rFonts w:ascii="Arial Narrow" w:eastAsiaTheme="majorEastAsia" w:hAnsi="Arial Narrow"/>
        </w:rPr>
        <w:footnoteRef/>
      </w:r>
      <w:r w:rsidRPr="00CD067B">
        <w:rPr>
          <w:rFonts w:ascii="Arial Narrow" w:hAnsi="Arial Narrow"/>
        </w:rPr>
        <w:t xml:space="preserve"> The CRA 7 management procedure was evaluated with a new model in 2015, extending its use until the 2020/21 fishing year.</w:t>
      </w:r>
    </w:p>
  </w:footnote>
  <w:footnote w:id="4">
    <w:p w14:paraId="609199EB" w14:textId="2C9BEDFD" w:rsidR="0054406D" w:rsidRPr="005077A8" w:rsidRDefault="0054406D">
      <w:pPr>
        <w:pStyle w:val="FootnoteText"/>
        <w:rPr>
          <w:rFonts w:ascii="Arial Narrow" w:hAnsi="Arial Narrow"/>
        </w:rPr>
      </w:pPr>
      <w:r w:rsidRPr="000E51AE">
        <w:rPr>
          <w:rStyle w:val="FootnoteReference"/>
          <w:rFonts w:ascii="Arial Narrow" w:hAnsi="Arial Narrow"/>
        </w:rPr>
        <w:footnoteRef/>
      </w:r>
      <w:r w:rsidRPr="00F1422F">
        <w:rPr>
          <w:rFonts w:ascii="Arial Narrow" w:hAnsi="Arial Narrow"/>
        </w:rPr>
        <w:t xml:space="preserve"> </w:t>
      </w:r>
      <w:r w:rsidRPr="00F1422F">
        <w:rPr>
          <w:rFonts w:ascii="Arial Narrow" w:hAnsi="Arial Narrow" w:cs="Arial"/>
        </w:rPr>
        <w:t xml:space="preserve">For further technical information on management procedures for New Zealand rock lobster refer to the fisheries research report available for download from the Fisheries New Zealand website here: </w:t>
      </w:r>
      <w:r w:rsidRPr="00961290">
        <w:rPr>
          <w:rStyle w:val="Hyperlink"/>
          <w:rFonts w:ascii="Arial Narrow" w:eastAsiaTheme="majorEastAsia" w:hAnsi="Arial Narrow" w:cs="Arial"/>
        </w:rPr>
        <w:t>https://www.mpi.govt.nz/dmsdocument/29627/send</w:t>
      </w:r>
      <w:r w:rsidRPr="00961290">
        <w:rPr>
          <w:rFonts w:ascii="Arial Narrow" w:hAnsi="Arial Narrow" w:cs="Arial"/>
        </w:rPr>
        <w:t xml:space="preserve"> [12MB].</w:t>
      </w:r>
    </w:p>
  </w:footnote>
  <w:footnote w:id="5">
    <w:p w14:paraId="634D52E5" w14:textId="77777777" w:rsidR="0054406D" w:rsidRPr="00526225" w:rsidRDefault="0054406D" w:rsidP="00C004A0">
      <w:pPr>
        <w:pStyle w:val="FootnoteText"/>
        <w:rPr>
          <w:rFonts w:ascii="Arial Narrow" w:hAnsi="Arial Narrow"/>
        </w:rPr>
      </w:pPr>
      <w:r w:rsidRPr="00526225">
        <w:rPr>
          <w:rStyle w:val="FootnoteReference"/>
          <w:rFonts w:ascii="Arial Narrow" w:eastAsiaTheme="majorEastAsia" w:hAnsi="Arial Narrow"/>
        </w:rPr>
        <w:footnoteRef/>
      </w:r>
      <w:r w:rsidRPr="00526225">
        <w:rPr>
          <w:rFonts w:ascii="Arial Narrow" w:hAnsi="Arial Narrow"/>
        </w:rPr>
        <w:t xml:space="preserve"> Stock size is measured in terms of autumn-winter vulnerable biomass for the </w:t>
      </w:r>
      <w:r w:rsidRPr="00526225">
        <w:rPr>
          <w:rFonts w:ascii="Arial Narrow" w:hAnsi="Arial Narrow"/>
          <w:i/>
        </w:rPr>
        <w:t>B</w:t>
      </w:r>
      <w:r w:rsidRPr="00526225">
        <w:rPr>
          <w:rFonts w:ascii="Arial Narrow" w:hAnsi="Arial Narrow"/>
          <w:i/>
          <w:vertAlign w:val="subscript"/>
        </w:rPr>
        <w:t>REF</w:t>
      </w:r>
      <w:r w:rsidRPr="00526225">
        <w:rPr>
          <w:rFonts w:ascii="Arial Narrow" w:hAnsi="Arial Narrow"/>
        </w:rPr>
        <w:t xml:space="preserve"> indicator. “Vulnerable biomass” is the biomass that is available to be caught legally: above the minimum legal size and not egg bearing if female.</w:t>
      </w:r>
    </w:p>
  </w:footnote>
  <w:footnote w:id="6">
    <w:p w14:paraId="2871F808" w14:textId="77777777" w:rsidR="0054406D" w:rsidRPr="00721EEB" w:rsidRDefault="0054406D" w:rsidP="00C004A0">
      <w:pPr>
        <w:pStyle w:val="FootnoteText"/>
        <w:rPr>
          <w:rFonts w:ascii="Arial Narrow" w:hAnsi="Arial Narrow"/>
        </w:rPr>
      </w:pPr>
      <w:r w:rsidRPr="00526225">
        <w:rPr>
          <w:rStyle w:val="FootnoteReference"/>
          <w:rFonts w:ascii="Arial Narrow" w:eastAsiaTheme="majorEastAsia" w:hAnsi="Arial Narrow"/>
        </w:rPr>
        <w:footnoteRef/>
      </w:r>
      <w:r w:rsidRPr="00526225">
        <w:rPr>
          <w:rFonts w:ascii="Arial Narrow" w:hAnsi="Arial Narrow"/>
        </w:rPr>
        <w:t xml:space="preserve"> The Operational Guidelines for the Harvest Strategy Standard describe the </w:t>
      </w:r>
      <w:r w:rsidRPr="00526225">
        <w:rPr>
          <w:rFonts w:ascii="Arial Narrow" w:hAnsi="Arial Narrow"/>
          <w:i/>
        </w:rPr>
        <w:t>B</w:t>
      </w:r>
      <w:r w:rsidRPr="00526225">
        <w:rPr>
          <w:rFonts w:ascii="Arial Narrow" w:hAnsi="Arial Narrow"/>
          <w:i/>
          <w:vertAlign w:val="subscript"/>
        </w:rPr>
        <w:t>REF</w:t>
      </w:r>
      <w:r w:rsidRPr="00526225">
        <w:rPr>
          <w:rFonts w:ascii="Arial Narrow" w:hAnsi="Arial Narrow"/>
        </w:rPr>
        <w:t xml:space="preserve"> concept as follows: “Conceptual proxies for </w:t>
      </w:r>
      <w:r w:rsidRPr="00526225">
        <w:rPr>
          <w:rFonts w:ascii="Arial Narrow" w:hAnsi="Arial Narrow"/>
          <w:i/>
        </w:rPr>
        <w:t>B</w:t>
      </w:r>
      <w:r w:rsidRPr="00526225">
        <w:rPr>
          <w:rFonts w:ascii="Arial Narrow" w:hAnsi="Arial Narrow"/>
          <w:i/>
          <w:vertAlign w:val="subscript"/>
        </w:rPr>
        <w:t>MSY</w:t>
      </w:r>
      <w:r w:rsidRPr="00526225">
        <w:rPr>
          <w:rFonts w:ascii="Arial Narrow" w:hAnsi="Arial Narrow"/>
        </w:rPr>
        <w:t xml:space="preserve">, </w:t>
      </w:r>
      <w:r w:rsidRPr="00526225">
        <w:rPr>
          <w:rFonts w:ascii="Arial Narrow" w:hAnsi="Arial Narrow"/>
          <w:i/>
        </w:rPr>
        <w:t>F</w:t>
      </w:r>
      <w:r w:rsidRPr="00526225">
        <w:rPr>
          <w:rFonts w:ascii="Arial Narrow" w:hAnsi="Arial Narrow"/>
          <w:i/>
          <w:vertAlign w:val="subscript"/>
        </w:rPr>
        <w:t>MSY</w:t>
      </w:r>
      <w:r w:rsidRPr="00526225">
        <w:rPr>
          <w:rFonts w:ascii="Arial Narrow" w:hAnsi="Arial Narrow"/>
        </w:rPr>
        <w:t xml:space="preserve"> and </w:t>
      </w:r>
      <w:r w:rsidRPr="00526225">
        <w:rPr>
          <w:rFonts w:ascii="Arial Narrow" w:hAnsi="Arial Narrow"/>
          <w:i/>
        </w:rPr>
        <w:t>MSY</w:t>
      </w:r>
      <w:r w:rsidRPr="00526225">
        <w:rPr>
          <w:rFonts w:ascii="Arial Narrow" w:hAnsi="Arial Narrow"/>
        </w:rPr>
        <w:t xml:space="preserve"> are qualitative surrogates that can be used in the absence of adequate information to directly estimate these reference points themselves. The conceptual interpretation embraces the spirit and intent of section 13 of the Act. It can be used in cases where there is insufficient information to estimate </w:t>
      </w:r>
      <w:r w:rsidRPr="00526225">
        <w:rPr>
          <w:rFonts w:ascii="Arial Narrow" w:hAnsi="Arial Narrow"/>
          <w:i/>
        </w:rPr>
        <w:t>B</w:t>
      </w:r>
      <w:r w:rsidRPr="00526225">
        <w:rPr>
          <w:rFonts w:ascii="Arial Narrow" w:hAnsi="Arial Narrow"/>
          <w:i/>
          <w:vertAlign w:val="subscript"/>
        </w:rPr>
        <w:t>MSY</w:t>
      </w:r>
      <w:r w:rsidRPr="00526225">
        <w:rPr>
          <w:rFonts w:ascii="Arial Narrow" w:hAnsi="Arial Narrow"/>
        </w:rPr>
        <w:t xml:space="preserve">, </w:t>
      </w:r>
      <w:r w:rsidRPr="00526225">
        <w:rPr>
          <w:rFonts w:ascii="Arial Narrow" w:hAnsi="Arial Narrow"/>
          <w:i/>
        </w:rPr>
        <w:t>F</w:t>
      </w:r>
      <w:r w:rsidRPr="00526225">
        <w:rPr>
          <w:rFonts w:ascii="Arial Narrow" w:hAnsi="Arial Narrow"/>
          <w:i/>
          <w:vertAlign w:val="subscript"/>
        </w:rPr>
        <w:t>MSY</w:t>
      </w:r>
      <w:r w:rsidRPr="00526225">
        <w:rPr>
          <w:rFonts w:ascii="Arial Narrow" w:hAnsi="Arial Narrow"/>
        </w:rPr>
        <w:t xml:space="preserve"> or </w:t>
      </w:r>
      <w:r w:rsidRPr="00526225">
        <w:rPr>
          <w:rFonts w:ascii="Arial Narrow" w:hAnsi="Arial Narrow"/>
          <w:i/>
        </w:rPr>
        <w:t>MSY</w:t>
      </w:r>
      <w:r w:rsidRPr="00526225">
        <w:rPr>
          <w:rFonts w:ascii="Arial Narrow" w:hAnsi="Arial Narrow"/>
        </w:rPr>
        <w:t xml:space="preserve"> explicitly, or where such estimates may be unreliable because, for example, there is little or nothing known about the stock recruitment relationship. In cases where the relationship between CPUE and abundance can be assumed to be more or less proportional, or where some other form of relationship has been derived from data, it may be reasonable to select an appropriate historical period when both CPUE and catches were relatively high and to use this CPUE level as a target. </w:t>
      </w:r>
      <w:r w:rsidRPr="00526225">
        <w:rPr>
          <w:rFonts w:ascii="Arial Narrow" w:hAnsi="Arial Narrow"/>
          <w:i/>
        </w:rPr>
        <w:t>The best example in current use in New Zealand is that for rock lobster</w:t>
      </w:r>
      <w:r w:rsidRPr="00526225">
        <w:rPr>
          <w:rFonts w:ascii="Arial Narrow" w:hAnsi="Arial Narrow"/>
        </w:rPr>
        <w:t>.” [emphasis added].</w:t>
      </w:r>
    </w:p>
  </w:footnote>
  <w:footnote w:id="7">
    <w:p w14:paraId="138F5646" w14:textId="77777777" w:rsidR="0054406D" w:rsidRPr="00F1422F" w:rsidRDefault="0054406D" w:rsidP="00CA2F99">
      <w:pPr>
        <w:pStyle w:val="FootnoteText"/>
        <w:rPr>
          <w:rFonts w:ascii="Arial Narrow" w:hAnsi="Arial Narrow"/>
        </w:rPr>
      </w:pPr>
      <w:r w:rsidRPr="000E51AE">
        <w:rPr>
          <w:rStyle w:val="FootnoteReference"/>
          <w:rFonts w:ascii="Arial Narrow" w:eastAsiaTheme="majorEastAsia" w:hAnsi="Arial Narrow"/>
        </w:rPr>
        <w:footnoteRef/>
      </w:r>
      <w:r w:rsidRPr="00F1422F">
        <w:rPr>
          <w:rFonts w:ascii="Arial Narrow" w:hAnsi="Arial Narrow"/>
        </w:rPr>
        <w:t xml:space="preserve"> With </w:t>
      </w:r>
      <w:r>
        <w:rPr>
          <w:rFonts w:ascii="Arial Narrow" w:hAnsi="Arial Narrow"/>
        </w:rPr>
        <w:t>a coefficient of variation of 33</w:t>
      </w:r>
      <w:r w:rsidRPr="00F1422F">
        <w:rPr>
          <w:rFonts w:ascii="Arial Narrow" w:hAnsi="Arial Narrow"/>
        </w:rPr>
        <w:t>% (the ratio of the standard deviation to the mean).</w:t>
      </w:r>
    </w:p>
  </w:footnote>
  <w:footnote w:id="8">
    <w:p w14:paraId="7CED890D" w14:textId="77777777" w:rsidR="0054406D" w:rsidRPr="000E51AE" w:rsidRDefault="0054406D" w:rsidP="00CA2F99">
      <w:pPr>
        <w:pStyle w:val="FootnoteText"/>
        <w:rPr>
          <w:rFonts w:ascii="Arial Narrow" w:hAnsi="Arial Narrow"/>
        </w:rPr>
      </w:pPr>
      <w:r w:rsidRPr="00882679">
        <w:rPr>
          <w:rStyle w:val="FootnoteReference"/>
          <w:rFonts w:ascii="Arial Narrow" w:hAnsi="Arial Narrow"/>
        </w:rPr>
        <w:footnoteRef/>
      </w:r>
      <w:r w:rsidRPr="00882679">
        <w:rPr>
          <w:rFonts w:ascii="Arial Narrow" w:hAnsi="Arial Narrow"/>
        </w:rPr>
        <w:t xml:space="preserve"> Section 111 catches (taken under section 111 of the Fisheries Act 1996) are </w:t>
      </w:r>
      <w:r w:rsidRPr="000E51AE">
        <w:rPr>
          <w:rFonts w:ascii="Arial Narrow" w:hAnsi="Arial Narrow"/>
        </w:rPr>
        <w:t>taken by commercial fishers for non-commercial purposes (i.e. a maximum of 2.94 tonnes of rock lobster in CRA 3).</w:t>
      </w:r>
    </w:p>
  </w:footnote>
  <w:footnote w:id="9">
    <w:p w14:paraId="5E79B8F0" w14:textId="08EE22F8" w:rsidR="0054406D" w:rsidRDefault="0054406D">
      <w:pPr>
        <w:pStyle w:val="FootnoteText"/>
      </w:pPr>
      <w:r>
        <w:rPr>
          <w:rStyle w:val="FootnoteReference"/>
        </w:rPr>
        <w:footnoteRef/>
      </w:r>
      <w:r>
        <w:t xml:space="preserve"> </w:t>
      </w:r>
      <w:r>
        <w:rPr>
          <w:rFonts w:ascii="Arial" w:hAnsi="Arial" w:cs="Arial"/>
          <w:sz w:val="16"/>
          <w:szCs w:val="16"/>
        </w:rPr>
        <w:t>In 2003 and 2004, the TACC was substantially under caught because of voluntary Annual Catch Entitlement shelving by the CRA 3 industry, which was informed by a management procedure.</w:t>
      </w:r>
    </w:p>
  </w:footnote>
  <w:footnote w:id="10">
    <w:p w14:paraId="57AC3096" w14:textId="77777777" w:rsidR="0054406D" w:rsidRPr="00D42E7A" w:rsidRDefault="0054406D" w:rsidP="000B0A46">
      <w:pPr>
        <w:pStyle w:val="FootnoteText"/>
        <w:rPr>
          <w:rFonts w:ascii="Arial Narrow" w:hAnsi="Arial Narrow" w:cs="Arial"/>
        </w:rPr>
      </w:pPr>
      <w:r w:rsidRPr="00D42E7A">
        <w:rPr>
          <w:rStyle w:val="FootnoteReference"/>
          <w:rFonts w:ascii="Arial Narrow" w:eastAsiaTheme="majorEastAsia" w:hAnsi="Arial Narrow" w:cs="Arial"/>
        </w:rPr>
        <w:footnoteRef/>
      </w:r>
      <w:r w:rsidRPr="00D42E7A">
        <w:rPr>
          <w:rFonts w:ascii="Arial Narrow" w:hAnsi="Arial Narrow" w:cs="Arial"/>
        </w:rPr>
        <w:t xml:space="preserve"> </w:t>
      </w:r>
      <w:r w:rsidRPr="00D42E7A">
        <w:rPr>
          <w:rFonts w:ascii="Arial Narrow" w:hAnsi="Arial Narrow" w:cs="Arial"/>
          <w:i/>
        </w:rPr>
        <w:t>B</w:t>
      </w:r>
      <w:r w:rsidRPr="00D42E7A">
        <w:rPr>
          <w:rFonts w:ascii="Arial Narrow" w:hAnsi="Arial Narrow" w:cs="Arial"/>
          <w:i/>
          <w:vertAlign w:val="subscript"/>
        </w:rPr>
        <w:t>REF</w:t>
      </w:r>
      <w:r w:rsidRPr="00D42E7A">
        <w:rPr>
          <w:rFonts w:ascii="Arial Narrow" w:hAnsi="Arial Narrow" w:cs="Arial"/>
          <w:vertAlign w:val="subscript"/>
        </w:rPr>
        <w:t xml:space="preserve"> </w:t>
      </w:r>
      <w:r w:rsidRPr="00D42E7A">
        <w:rPr>
          <w:rFonts w:ascii="Arial Narrow" w:hAnsi="Arial Narrow" w:cs="Arial"/>
        </w:rPr>
        <w:t>is not reported for CRA 3 because it is not considered a useful indicator at this time.</w:t>
      </w:r>
    </w:p>
  </w:footnote>
  <w:footnote w:id="11">
    <w:p w14:paraId="061F61DF" w14:textId="2BCC4FAD" w:rsidR="0054406D" w:rsidRPr="005F7E3D" w:rsidRDefault="0054406D">
      <w:pPr>
        <w:pStyle w:val="FootnoteText"/>
        <w:rPr>
          <w:rFonts w:ascii="Arial Narrow" w:hAnsi="Arial Narrow"/>
        </w:rPr>
      </w:pPr>
      <w:r w:rsidRPr="000E51AE">
        <w:rPr>
          <w:rStyle w:val="FootnoteReference"/>
          <w:rFonts w:ascii="Arial Narrow" w:hAnsi="Arial Narrow"/>
        </w:rPr>
        <w:footnoteRef/>
      </w:r>
      <w:r w:rsidRPr="00F1422F">
        <w:rPr>
          <w:rFonts w:ascii="Arial Narrow" w:hAnsi="Arial Narrow"/>
        </w:rPr>
        <w:t xml:space="preserve"> The 2017/18 port price for rock lobst</w:t>
      </w:r>
      <w:r w:rsidRPr="005F7E3D">
        <w:rPr>
          <w:rFonts w:ascii="Arial Narrow" w:hAnsi="Arial Narrow"/>
        </w:rPr>
        <w:t>er was $79.58 per kg.</w:t>
      </w:r>
    </w:p>
  </w:footnote>
  <w:footnote w:id="12">
    <w:p w14:paraId="4A959FDF" w14:textId="51C8E3F4" w:rsidR="0054406D" w:rsidRPr="00F1422F" w:rsidRDefault="0054406D" w:rsidP="008E42C9">
      <w:pPr>
        <w:pStyle w:val="FootnoteText"/>
        <w:rPr>
          <w:rFonts w:ascii="Arial Narrow" w:hAnsi="Arial Narrow"/>
        </w:rPr>
      </w:pPr>
      <w:r w:rsidRPr="000E51AE">
        <w:rPr>
          <w:rStyle w:val="FootnoteReference"/>
          <w:rFonts w:ascii="Arial Narrow" w:eastAsiaTheme="majorEastAsia" w:hAnsi="Arial Narrow"/>
        </w:rPr>
        <w:footnoteRef/>
      </w:r>
      <w:r w:rsidRPr="00F1422F">
        <w:rPr>
          <w:rFonts w:ascii="Arial Narrow" w:hAnsi="Arial Narrow"/>
        </w:rPr>
        <w:t xml:space="preserve"> With a coefficient of</w:t>
      </w:r>
      <w:r>
        <w:rPr>
          <w:rFonts w:ascii="Arial Narrow" w:hAnsi="Arial Narrow"/>
        </w:rPr>
        <w:t xml:space="preserve"> variation of 17% (</w:t>
      </w:r>
      <w:r w:rsidRPr="00F1422F">
        <w:rPr>
          <w:rFonts w:ascii="Arial Narrow" w:hAnsi="Arial Narrow"/>
        </w:rPr>
        <w:t>the ratio of the standard deviation to the mean).</w:t>
      </w:r>
    </w:p>
  </w:footnote>
  <w:footnote w:id="13">
    <w:p w14:paraId="2F136C3B" w14:textId="77777777" w:rsidR="0054406D" w:rsidRDefault="0054406D" w:rsidP="000E6DD8">
      <w:pPr>
        <w:pStyle w:val="FootnoteText"/>
      </w:pPr>
      <w:r w:rsidRPr="002E343D">
        <w:rPr>
          <w:rStyle w:val="FootnoteReference"/>
          <w:rFonts w:ascii="Arial Narrow" w:hAnsi="Arial Narrow"/>
        </w:rPr>
        <w:footnoteRef/>
      </w:r>
      <w:r w:rsidRPr="002E343D">
        <w:rPr>
          <w:rFonts w:ascii="Arial Narrow" w:hAnsi="Arial Narrow"/>
        </w:rPr>
        <w:t xml:space="preserve"> Section 111 catches are taken by commercial fishers for non-commercial purposes (i.e. a maximum of 5.8 tonnes of rock lobster in CRA 4</w:t>
      </w:r>
      <w:r w:rsidRPr="000E51AE">
        <w:rPr>
          <w:rFonts w:ascii="Arial Narrow" w:hAnsi="Arial Narrow"/>
        </w:rPr>
        <w:t>)</w:t>
      </w:r>
    </w:p>
  </w:footnote>
  <w:footnote w:id="14">
    <w:p w14:paraId="3EFE678D" w14:textId="77777777" w:rsidR="0054406D" w:rsidRPr="00E21F5D" w:rsidRDefault="0054406D" w:rsidP="00943466">
      <w:pPr>
        <w:pStyle w:val="FootnoteText"/>
        <w:rPr>
          <w:rFonts w:ascii="Arial Narrow" w:hAnsi="Arial Narrow"/>
        </w:rPr>
      </w:pPr>
      <w:r w:rsidRPr="00E21F5D">
        <w:rPr>
          <w:rStyle w:val="FootnoteReference"/>
          <w:rFonts w:ascii="Arial Narrow" w:eastAsiaTheme="majorEastAsia" w:hAnsi="Arial Narrow"/>
          <w:szCs w:val="18"/>
        </w:rPr>
        <w:footnoteRef/>
      </w:r>
      <w:r w:rsidRPr="00E21F5D">
        <w:rPr>
          <w:rFonts w:ascii="Arial Narrow" w:hAnsi="Arial Narrow"/>
          <w:szCs w:val="18"/>
        </w:rPr>
        <w:t xml:space="preserve"> </w:t>
      </w:r>
      <w:r w:rsidRPr="00E21F5D">
        <w:rPr>
          <w:rFonts w:ascii="Arial Narrow" w:hAnsi="Arial Narrow"/>
          <w:i/>
          <w:szCs w:val="18"/>
        </w:rPr>
        <w:t>B</w:t>
      </w:r>
      <w:r w:rsidRPr="00E21F5D">
        <w:rPr>
          <w:rFonts w:ascii="Arial Narrow" w:hAnsi="Arial Narrow"/>
          <w:i/>
          <w:szCs w:val="18"/>
          <w:vertAlign w:val="subscript"/>
        </w:rPr>
        <w:t>REF</w:t>
      </w:r>
      <w:r w:rsidRPr="00E21F5D">
        <w:rPr>
          <w:rFonts w:ascii="Arial Narrow" w:hAnsi="Arial Narrow"/>
          <w:szCs w:val="18"/>
        </w:rPr>
        <w:t xml:space="preserve"> for CRA 4 is the average pre-season autumn-winter vulnerable biomass associated with the period 1979-88.</w:t>
      </w:r>
    </w:p>
  </w:footnote>
  <w:footnote w:id="15">
    <w:p w14:paraId="38C2BDA0" w14:textId="716A2FBC" w:rsidR="0054406D" w:rsidRPr="000E51AE" w:rsidRDefault="0054406D">
      <w:pPr>
        <w:pStyle w:val="FootnoteText"/>
        <w:rPr>
          <w:rFonts w:ascii="Arial Narrow" w:hAnsi="Arial Narrow"/>
        </w:rPr>
      </w:pPr>
      <w:r w:rsidRPr="000E51AE">
        <w:rPr>
          <w:rStyle w:val="FootnoteReference"/>
          <w:rFonts w:ascii="Arial Narrow" w:hAnsi="Arial Narrow"/>
        </w:rPr>
        <w:footnoteRef/>
      </w:r>
      <w:r w:rsidRPr="00F1422F">
        <w:rPr>
          <w:rFonts w:ascii="Arial Narrow" w:hAnsi="Arial Narrow"/>
        </w:rPr>
        <w:t xml:space="preserve"> </w:t>
      </w:r>
      <w:r w:rsidRPr="00867ABD">
        <w:rPr>
          <w:rFonts w:ascii="Arial Narrow" w:hAnsi="Arial Narrow"/>
        </w:rPr>
        <w:t>The 2017/18 port price for rock lobster was $79.58 per kg.</w:t>
      </w:r>
    </w:p>
  </w:footnote>
  <w:footnote w:id="16">
    <w:p w14:paraId="7388D761" w14:textId="77777777" w:rsidR="0054406D" w:rsidRPr="005F22BA" w:rsidRDefault="0054406D" w:rsidP="00C1118A">
      <w:pPr>
        <w:pStyle w:val="FootnoteText"/>
        <w:rPr>
          <w:rFonts w:ascii="Arial Narrow" w:hAnsi="Arial Narrow"/>
        </w:rPr>
      </w:pPr>
      <w:r w:rsidRPr="005F22BA">
        <w:rPr>
          <w:rStyle w:val="FootnoteReference"/>
          <w:rFonts w:ascii="Arial Narrow" w:eastAsiaTheme="majorEastAsia" w:hAnsi="Arial Narrow"/>
        </w:rPr>
        <w:footnoteRef/>
      </w:r>
      <w:r w:rsidRPr="005F22BA">
        <w:rPr>
          <w:rFonts w:ascii="Arial Narrow" w:hAnsi="Arial Narrow"/>
        </w:rPr>
        <w:t xml:space="preserve"> With a coefficient of variation of 60% (a measure of the ratio of the standard deviation to the mean).</w:t>
      </w:r>
    </w:p>
  </w:footnote>
  <w:footnote w:id="17">
    <w:p w14:paraId="5789FC77" w14:textId="77777777" w:rsidR="0054406D" w:rsidRDefault="0054406D" w:rsidP="002B7E06">
      <w:pPr>
        <w:pStyle w:val="FootnoteText"/>
      </w:pPr>
      <w:r w:rsidRPr="00F92A59">
        <w:rPr>
          <w:rStyle w:val="FootnoteReference"/>
          <w:rFonts w:eastAsiaTheme="majorEastAsia"/>
          <w:sz w:val="18"/>
          <w:szCs w:val="18"/>
        </w:rPr>
        <w:footnoteRef/>
      </w:r>
      <w:r w:rsidRPr="00F92A59">
        <w:rPr>
          <w:rFonts w:ascii="Arial Narrow" w:hAnsi="Arial Narrow"/>
          <w:sz w:val="18"/>
          <w:szCs w:val="18"/>
        </w:rPr>
        <w:t xml:space="preserve"> </w:t>
      </w:r>
      <w:r w:rsidRPr="005B2226">
        <w:rPr>
          <w:rFonts w:ascii="Arial Narrow" w:hAnsi="Arial Narrow"/>
          <w:i/>
          <w:sz w:val="18"/>
          <w:szCs w:val="18"/>
        </w:rPr>
        <w:t>B</w:t>
      </w:r>
      <w:r w:rsidRPr="005B2226">
        <w:rPr>
          <w:rFonts w:ascii="Arial Narrow" w:hAnsi="Arial Narrow"/>
          <w:i/>
          <w:sz w:val="18"/>
          <w:szCs w:val="18"/>
          <w:vertAlign w:val="subscript"/>
        </w:rPr>
        <w:t>REF</w:t>
      </w:r>
      <w:r>
        <w:rPr>
          <w:rFonts w:ascii="Arial Narrow" w:hAnsi="Arial Narrow"/>
          <w:sz w:val="18"/>
          <w:szCs w:val="18"/>
        </w:rPr>
        <w:t xml:space="preserve"> for CRA 8</w:t>
      </w:r>
      <w:r w:rsidRPr="00F92A59">
        <w:rPr>
          <w:rFonts w:ascii="Arial Narrow" w:hAnsi="Arial Narrow"/>
          <w:sz w:val="18"/>
          <w:szCs w:val="18"/>
        </w:rPr>
        <w:t xml:space="preserve"> is the </w:t>
      </w:r>
      <w:r>
        <w:rPr>
          <w:rFonts w:ascii="Arial Narrow" w:hAnsi="Arial Narrow"/>
          <w:sz w:val="18"/>
          <w:szCs w:val="18"/>
        </w:rPr>
        <w:t xml:space="preserve">average </w:t>
      </w:r>
      <w:r w:rsidRPr="00F92A59">
        <w:rPr>
          <w:rFonts w:ascii="Arial Narrow" w:hAnsi="Arial Narrow"/>
          <w:sz w:val="18"/>
          <w:szCs w:val="18"/>
        </w:rPr>
        <w:t>pre-season autumn-winter vulnerable biomass associated with the peri</w:t>
      </w:r>
      <w:r>
        <w:rPr>
          <w:rFonts w:ascii="Arial Narrow" w:hAnsi="Arial Narrow"/>
          <w:sz w:val="18"/>
          <w:szCs w:val="18"/>
        </w:rPr>
        <w:t>od 1979-81</w:t>
      </w:r>
      <w:r w:rsidRPr="00F92A59">
        <w:rPr>
          <w:rFonts w:ascii="Arial Narrow" w:hAnsi="Arial Narrow"/>
          <w:sz w:val="18"/>
          <w:szCs w:val="18"/>
        </w:rPr>
        <w:t>.</w:t>
      </w:r>
    </w:p>
  </w:footnote>
  <w:footnote w:id="18">
    <w:p w14:paraId="058E281E" w14:textId="31488407" w:rsidR="0054406D" w:rsidRPr="00DC673F" w:rsidRDefault="0054406D">
      <w:pPr>
        <w:pStyle w:val="FootnoteText"/>
        <w:rPr>
          <w:rFonts w:ascii="Arial Narrow" w:hAnsi="Arial Narrow"/>
        </w:rPr>
      </w:pPr>
      <w:r w:rsidRPr="00DC673F">
        <w:rPr>
          <w:rStyle w:val="FootnoteReference"/>
          <w:rFonts w:ascii="Arial Narrow" w:hAnsi="Arial Narrow"/>
        </w:rPr>
        <w:footnoteRef/>
      </w:r>
      <w:r w:rsidRPr="00DC673F">
        <w:rPr>
          <w:rFonts w:ascii="Arial Narrow" w:hAnsi="Arial Narrow"/>
        </w:rPr>
        <w:t xml:space="preserve"> The 2017/18 port price for rock lobster was $79.58 per kg.</w:t>
      </w:r>
    </w:p>
  </w:footnote>
  <w:footnote w:id="19">
    <w:p w14:paraId="23581EC8" w14:textId="77777777" w:rsidR="0054406D" w:rsidRPr="006A5E9C" w:rsidRDefault="0054406D" w:rsidP="002B7E06">
      <w:pPr>
        <w:pStyle w:val="FootnoteText"/>
        <w:rPr>
          <w:rFonts w:ascii="Arial Narrow" w:hAnsi="Arial Narrow"/>
        </w:rPr>
      </w:pPr>
      <w:r w:rsidRPr="00F1422F">
        <w:rPr>
          <w:rStyle w:val="FootnoteReference"/>
          <w:rFonts w:ascii="Arial Narrow" w:eastAsiaTheme="majorEastAsia" w:hAnsi="Arial Narrow"/>
        </w:rPr>
        <w:footnoteRef/>
      </w:r>
      <w:r w:rsidRPr="00F1422F">
        <w:rPr>
          <w:rFonts w:ascii="Arial Narrow" w:hAnsi="Arial Narrow"/>
        </w:rPr>
        <w:t xml:space="preserve"> </w:t>
      </w:r>
      <w:r w:rsidRPr="006A5E9C">
        <w:rPr>
          <w:rFonts w:ascii="Arial Narrow" w:hAnsi="Arial Narrow"/>
          <w:color w:val="000000"/>
        </w:rPr>
        <w:t xml:space="preserve">Available at </w:t>
      </w:r>
      <w:hyperlink r:id="rId1" w:history="1">
        <w:r w:rsidRPr="006A5E9C">
          <w:rPr>
            <w:rStyle w:val="Hyperlink"/>
            <w:rFonts w:ascii="Arial Narrow" w:eastAsiaTheme="majorEastAsia" w:hAnsi="Arial Narrow"/>
          </w:rPr>
          <w:t>www.mpi.govt.nz/document-vault/3663</w:t>
        </w:r>
      </w:hyperlink>
    </w:p>
  </w:footnote>
  <w:footnote w:id="20">
    <w:p w14:paraId="24EBC043" w14:textId="2D0BC3EA" w:rsidR="0054406D" w:rsidRPr="00E4177F" w:rsidRDefault="0054406D" w:rsidP="00D979B1">
      <w:pPr>
        <w:pStyle w:val="FootnoteText"/>
        <w:rPr>
          <w:rFonts w:ascii="Arial Narrow" w:hAnsi="Arial Narrow" w:cs="Arial"/>
        </w:rPr>
      </w:pPr>
      <w:r w:rsidRPr="00E4177F">
        <w:rPr>
          <w:rStyle w:val="FootnoteReference"/>
          <w:rFonts w:ascii="Arial Narrow" w:eastAsiaTheme="majorEastAsia" w:hAnsi="Arial Narrow" w:cs="Arial"/>
        </w:rPr>
        <w:footnoteRef/>
      </w:r>
      <w:r w:rsidRPr="00E4177F">
        <w:rPr>
          <w:rFonts w:ascii="Arial Narrow" w:hAnsi="Arial Narrow" w:cs="Arial"/>
        </w:rPr>
        <w:t xml:space="preserve"> Recreational Fishing Council Inc v Sanford Limited and Ors [</w:t>
      </w:r>
      <w:r w:rsidRPr="00E22B6D">
        <w:rPr>
          <w:rFonts w:ascii="Arial Narrow" w:hAnsi="Arial Narrow" w:cs="Arial"/>
        </w:rPr>
        <w:t>2009] NZSC 54</w:t>
      </w:r>
      <w:r w:rsidRPr="00E4177F">
        <w:rPr>
          <w:rFonts w:ascii="Arial Narrow" w:hAnsi="Arial Narrow" w:cs="Arial"/>
        </w:rPr>
        <w:t xml:space="preserve"> at [39].</w:t>
      </w:r>
    </w:p>
  </w:footnote>
  <w:footnote w:id="21">
    <w:p w14:paraId="033B9D4A" w14:textId="77777777" w:rsidR="0054406D" w:rsidRPr="00AE673F" w:rsidRDefault="0054406D" w:rsidP="00D979B1">
      <w:pPr>
        <w:pStyle w:val="FootnoteText"/>
        <w:rPr>
          <w:rFonts w:ascii="Arial Narrow" w:hAnsi="Arial Narrow" w:cs="Arial"/>
        </w:rPr>
      </w:pPr>
      <w:r w:rsidRPr="00AE673F">
        <w:rPr>
          <w:rStyle w:val="FootnoteReference"/>
          <w:rFonts w:ascii="Arial Narrow" w:eastAsiaTheme="majorEastAsia" w:hAnsi="Arial Narrow" w:cs="Arial"/>
        </w:rPr>
        <w:footnoteRef/>
      </w:r>
      <w:r w:rsidRPr="00AE673F">
        <w:rPr>
          <w:rFonts w:ascii="Arial Narrow" w:hAnsi="Arial Narrow" w:cs="Arial"/>
        </w:rPr>
        <w:t xml:space="preserve"> </w:t>
      </w:r>
      <w:r w:rsidRPr="00AE673F">
        <w:rPr>
          <w:rFonts w:ascii="Arial Narrow" w:hAnsi="Arial Narrow" w:cs="Arial"/>
          <w:i/>
        </w:rPr>
        <w:t>Greenpeace NZ Inc v Minister of Fisheries</w:t>
      </w:r>
      <w:r w:rsidRPr="00AE673F">
        <w:rPr>
          <w:rFonts w:ascii="Arial Narrow" w:hAnsi="Arial Narrow" w:cs="Arial"/>
        </w:rPr>
        <w:t xml:space="preserve"> (HC, Wellington CP 492/93, 27/11/95, Gallen J) p 32.</w:t>
      </w:r>
    </w:p>
  </w:footnote>
  <w:footnote w:id="22">
    <w:p w14:paraId="210DD648" w14:textId="77777777" w:rsidR="0054406D" w:rsidRDefault="0054406D" w:rsidP="00D979B1">
      <w:pPr>
        <w:pStyle w:val="FootnoteText"/>
      </w:pPr>
      <w:r w:rsidRPr="00AE673F">
        <w:rPr>
          <w:rStyle w:val="FootnoteReference"/>
          <w:rFonts w:ascii="Arial Narrow" w:eastAsiaTheme="majorEastAsia" w:hAnsi="Arial Narrow" w:cs="Arial"/>
        </w:rPr>
        <w:footnoteRef/>
      </w:r>
      <w:r>
        <w:rPr>
          <w:rFonts w:ascii="Arial Narrow" w:hAnsi="Arial Narrow" w:cs="Arial"/>
        </w:rPr>
        <w:t xml:space="preserve"> A non</w:t>
      </w:r>
      <w:r w:rsidRPr="00AE673F">
        <w:rPr>
          <w:rFonts w:ascii="Arial Narrow" w:hAnsi="Arial Narrow" w:cs="Arial"/>
        </w:rPr>
        <w:t>binding M</w:t>
      </w:r>
      <w:r>
        <w:rPr>
          <w:rFonts w:ascii="Arial Narrow" w:hAnsi="Arial Narrow" w:cs="Arial"/>
        </w:rPr>
        <w:t>inistry for Primary Industries P</w:t>
      </w:r>
      <w:r w:rsidRPr="00AE673F">
        <w:rPr>
          <w:rFonts w:ascii="Arial Narrow" w:hAnsi="Arial Narrow" w:cs="Arial"/>
        </w:rPr>
        <w:t>olicy Document.</w:t>
      </w:r>
    </w:p>
  </w:footnote>
  <w:footnote w:id="23">
    <w:p w14:paraId="2AE25D0E" w14:textId="77777777" w:rsidR="0054406D" w:rsidRPr="00F81F75" w:rsidRDefault="0054406D" w:rsidP="00D979B1">
      <w:pPr>
        <w:pStyle w:val="FootnoteText"/>
        <w:rPr>
          <w:rFonts w:ascii="Arial Narrow" w:hAnsi="Arial Narrow"/>
          <w:color w:val="000000" w:themeColor="text1"/>
        </w:rPr>
      </w:pPr>
      <w:r w:rsidRPr="00F81F75">
        <w:rPr>
          <w:rStyle w:val="FootnoteReference"/>
          <w:rFonts w:ascii="Arial Narrow" w:eastAsiaTheme="majorEastAsia" w:hAnsi="Arial Narrow"/>
        </w:rPr>
        <w:footnoteRef/>
      </w:r>
      <w:r w:rsidRPr="00F81F75">
        <w:rPr>
          <w:rFonts w:ascii="Arial Narrow" w:hAnsi="Arial Narrow"/>
        </w:rPr>
        <w:t xml:space="preserve"> New Zealand </w:t>
      </w:r>
      <w:r w:rsidRPr="00F81F75">
        <w:rPr>
          <w:rFonts w:ascii="Arial Narrow" w:hAnsi="Arial Narrow"/>
          <w:color w:val="000000" w:themeColor="text1"/>
        </w:rPr>
        <w:t>Fishing Industry Association (Inc) v Minister of Fisheries CA 82/97, 22 July 1997 (“Snapper 1”).</w:t>
      </w:r>
    </w:p>
  </w:footnote>
  <w:footnote w:id="24">
    <w:p w14:paraId="4918A4D9" w14:textId="77777777" w:rsidR="0054406D" w:rsidRPr="00F81F75" w:rsidRDefault="0054406D" w:rsidP="00D979B1">
      <w:pPr>
        <w:pStyle w:val="FootnoteText"/>
        <w:rPr>
          <w:rFonts w:ascii="Arial Narrow" w:hAnsi="Arial Narrow"/>
          <w:color w:val="000000" w:themeColor="text1"/>
        </w:rPr>
      </w:pPr>
      <w:r w:rsidRPr="00F81F75">
        <w:rPr>
          <w:rStyle w:val="FootnoteReference"/>
          <w:rFonts w:ascii="Arial Narrow" w:eastAsiaTheme="majorEastAsia" w:hAnsi="Arial Narrow"/>
          <w:color w:val="000000" w:themeColor="text1"/>
        </w:rPr>
        <w:footnoteRef/>
      </w:r>
      <w:r w:rsidRPr="00F81F75">
        <w:rPr>
          <w:rFonts w:ascii="Arial Narrow" w:hAnsi="Arial Narrow"/>
          <w:color w:val="000000" w:themeColor="text1"/>
        </w:rPr>
        <w:t xml:space="preserve"> Snapper 1, p 17.</w:t>
      </w:r>
    </w:p>
  </w:footnote>
  <w:footnote w:id="25">
    <w:p w14:paraId="5178EC9A" w14:textId="77777777" w:rsidR="0054406D" w:rsidRPr="00F81F75" w:rsidRDefault="0054406D" w:rsidP="00D979B1">
      <w:pPr>
        <w:pStyle w:val="FootnoteText"/>
        <w:rPr>
          <w:rFonts w:ascii="Arial Narrow" w:hAnsi="Arial Narrow"/>
          <w:color w:val="000000" w:themeColor="text1"/>
        </w:rPr>
      </w:pPr>
      <w:r w:rsidRPr="00F81F75">
        <w:rPr>
          <w:rStyle w:val="FootnoteReference"/>
          <w:rFonts w:ascii="Arial Narrow" w:eastAsiaTheme="majorEastAsia" w:hAnsi="Arial Narrow"/>
          <w:color w:val="000000" w:themeColor="text1"/>
        </w:rPr>
        <w:footnoteRef/>
      </w:r>
      <w:r w:rsidRPr="00F81F75">
        <w:rPr>
          <w:rFonts w:ascii="Arial Narrow" w:hAnsi="Arial Narrow"/>
          <w:color w:val="000000" w:themeColor="text1"/>
        </w:rPr>
        <w:t xml:space="preserve"> New Zealand Recreational Fishing Council Inc v Sanford Limited [2009] NZSC 54 (“Kahawai”)</w:t>
      </w:r>
    </w:p>
  </w:footnote>
  <w:footnote w:id="26">
    <w:p w14:paraId="2719ACA2" w14:textId="77777777" w:rsidR="0054406D" w:rsidRPr="00F81F75" w:rsidRDefault="0054406D" w:rsidP="00D979B1">
      <w:pPr>
        <w:pStyle w:val="FootnoteText"/>
        <w:rPr>
          <w:rFonts w:ascii="Arial Narrow" w:hAnsi="Arial Narrow"/>
          <w:color w:val="000000" w:themeColor="text1"/>
        </w:rPr>
      </w:pPr>
      <w:r w:rsidRPr="00F81F75">
        <w:rPr>
          <w:rStyle w:val="FootnoteReference"/>
          <w:rFonts w:ascii="Arial Narrow" w:eastAsiaTheme="majorEastAsia" w:hAnsi="Arial Narrow"/>
          <w:color w:val="000000" w:themeColor="text1"/>
        </w:rPr>
        <w:footnoteRef/>
      </w:r>
      <w:r w:rsidRPr="00F81F75">
        <w:rPr>
          <w:rFonts w:ascii="Arial Narrow" w:hAnsi="Arial Narrow"/>
          <w:color w:val="000000" w:themeColor="text1"/>
        </w:rPr>
        <w:t xml:space="preserve"> Kahawai [55]</w:t>
      </w:r>
    </w:p>
  </w:footnote>
  <w:footnote w:id="27">
    <w:p w14:paraId="1F0090C8" w14:textId="77777777" w:rsidR="0054406D" w:rsidRPr="00F81F75" w:rsidRDefault="0054406D" w:rsidP="00D979B1">
      <w:pPr>
        <w:pStyle w:val="FootnoteText"/>
        <w:rPr>
          <w:rFonts w:ascii="Arial Narrow" w:hAnsi="Arial Narrow"/>
          <w:color w:val="000000" w:themeColor="text1"/>
        </w:rPr>
      </w:pPr>
      <w:r w:rsidRPr="00F81F75">
        <w:rPr>
          <w:rStyle w:val="FootnoteReference"/>
          <w:rFonts w:ascii="Arial Narrow" w:eastAsiaTheme="majorEastAsia" w:hAnsi="Arial Narrow"/>
          <w:color w:val="000000" w:themeColor="text1"/>
        </w:rPr>
        <w:footnoteRef/>
      </w:r>
      <w:r w:rsidRPr="00F81F75">
        <w:rPr>
          <w:rFonts w:ascii="Arial Narrow" w:hAnsi="Arial Narrow"/>
          <w:color w:val="000000" w:themeColor="text1"/>
        </w:rPr>
        <w:t xml:space="preserve"> Kahawai [61]</w:t>
      </w:r>
    </w:p>
  </w:footnote>
  <w:footnote w:id="28">
    <w:p w14:paraId="73BEF888" w14:textId="77777777" w:rsidR="0054406D" w:rsidRPr="00F81F75" w:rsidRDefault="0054406D" w:rsidP="00D979B1">
      <w:pPr>
        <w:pStyle w:val="FootnoteText"/>
        <w:rPr>
          <w:rFonts w:ascii="Arial Narrow" w:hAnsi="Arial Narrow"/>
        </w:rPr>
      </w:pPr>
      <w:r w:rsidRPr="00F81F75">
        <w:rPr>
          <w:rStyle w:val="FootnoteReference"/>
          <w:rFonts w:ascii="Arial Narrow" w:eastAsiaTheme="majorEastAsia" w:hAnsi="Arial Narrow"/>
        </w:rPr>
        <w:footnoteRef/>
      </w:r>
      <w:r w:rsidRPr="00F81F75">
        <w:rPr>
          <w:rFonts w:ascii="Arial Narrow" w:hAnsi="Arial Narrow"/>
        </w:rPr>
        <w:t xml:space="preserve"> Kahawai [65]</w:t>
      </w:r>
    </w:p>
  </w:footnote>
  <w:footnote w:id="29">
    <w:p w14:paraId="00517C3C" w14:textId="77777777" w:rsidR="0054406D" w:rsidRPr="00F81F75" w:rsidRDefault="0054406D" w:rsidP="00D979B1">
      <w:pPr>
        <w:pStyle w:val="FootnoteText"/>
        <w:rPr>
          <w:rFonts w:ascii="Arial Narrow" w:hAnsi="Arial Narrow"/>
        </w:rPr>
      </w:pPr>
      <w:r w:rsidRPr="00F81F75">
        <w:rPr>
          <w:rStyle w:val="FootnoteReference"/>
          <w:rFonts w:ascii="Arial Narrow" w:eastAsiaTheme="majorEastAsia" w:hAnsi="Arial Narrow"/>
        </w:rPr>
        <w:footnoteRef/>
      </w:r>
      <w:r w:rsidRPr="00F81F75">
        <w:rPr>
          <w:rFonts w:ascii="Arial Narrow" w:hAnsi="Arial Narrow"/>
        </w:rPr>
        <w:t xml:space="preserve"> Kahawai [56]</w:t>
      </w:r>
    </w:p>
  </w:footnote>
  <w:footnote w:id="30">
    <w:p w14:paraId="5117C2F7" w14:textId="77777777" w:rsidR="0054406D" w:rsidRDefault="0054406D" w:rsidP="00D979B1">
      <w:pPr>
        <w:pStyle w:val="FootnoteText"/>
      </w:pPr>
      <w:r w:rsidRPr="00F81F75">
        <w:rPr>
          <w:rStyle w:val="FootnoteReference"/>
          <w:rFonts w:ascii="Arial Narrow" w:eastAsiaTheme="majorEastAsia" w:hAnsi="Arial Narrow"/>
        </w:rPr>
        <w:footnoteRef/>
      </w:r>
      <w:r w:rsidRPr="00F81F75">
        <w:rPr>
          <w:rFonts w:ascii="Arial Narrow" w:hAnsi="Arial Narrow"/>
        </w:rPr>
        <w:t xml:space="preserve"> Snapper at 101-102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7272A" w14:textId="3CB09C59" w:rsidR="0054406D" w:rsidRDefault="0054406D" w:rsidP="00F81F75">
    <w:pPr>
      <w:pStyle w:val="Header"/>
      <w:jc w:val="right"/>
    </w:pPr>
    <w:r>
      <w:rPr>
        <w:noProof/>
        <w:lang w:eastAsia="en-NZ"/>
      </w:rPr>
      <w:drawing>
        <wp:anchor distT="0" distB="0" distL="114300" distR="114300" simplePos="0" relativeHeight="251658242" behindDoc="1" locked="0" layoutInCell="1" allowOverlap="1" wp14:anchorId="7E0088D5" wp14:editId="758E5F6B">
          <wp:simplePos x="0" y="0"/>
          <wp:positionH relativeFrom="column">
            <wp:posOffset>-1478280</wp:posOffset>
          </wp:positionH>
          <wp:positionV relativeFrom="paragraph">
            <wp:posOffset>6985</wp:posOffset>
          </wp:positionV>
          <wp:extent cx="2520000" cy="558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heries New Zealand Maori Cre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558000"/>
                  </a:xfrm>
                  <a:prstGeom prst="rect">
                    <a:avLst/>
                  </a:prstGeom>
                </pic:spPr>
              </pic:pic>
            </a:graphicData>
          </a:graphic>
          <wp14:sizeRelH relativeFrom="page">
            <wp14:pctWidth>0</wp14:pctWidth>
          </wp14:sizeRelH>
          <wp14:sizeRelV relativeFrom="page">
            <wp14:pctHeight>0</wp14:pctHeight>
          </wp14:sizeRelV>
        </wp:anchor>
      </w:drawing>
    </w:r>
  </w:p>
  <w:p w14:paraId="094655F2" w14:textId="77777777" w:rsidR="0054406D" w:rsidRDefault="0054406D" w:rsidP="00F81F75">
    <w:pPr>
      <w:pStyle w:val="Header"/>
      <w:jc w:val="right"/>
    </w:pPr>
  </w:p>
  <w:p w14:paraId="6A5BD6BD" w14:textId="77777777" w:rsidR="0054406D" w:rsidRDefault="0054406D" w:rsidP="00F81F75">
    <w:pPr>
      <w:pStyle w:val="Header"/>
      <w:jc w:val="right"/>
    </w:pPr>
  </w:p>
  <w:p w14:paraId="604A08D8" w14:textId="77777777" w:rsidR="0054406D" w:rsidRDefault="0054406D" w:rsidP="00F81F75">
    <w:pPr>
      <w:rPr>
        <w:rFonts w:asciiTheme="minorHAnsi" w:hAnsiTheme="minorHAnsi"/>
        <w:b/>
        <w:color w:val="993300"/>
        <w:sz w:val="32"/>
        <w:szCs w:val="32"/>
      </w:rPr>
    </w:pPr>
  </w:p>
  <w:p w14:paraId="13422DCC" w14:textId="77777777" w:rsidR="0054406D" w:rsidRDefault="0054406D" w:rsidP="00F81F75">
    <w:pPr>
      <w:rPr>
        <w:rFonts w:asciiTheme="minorHAnsi" w:hAnsiTheme="minorHAnsi"/>
        <w:b/>
        <w:color w:val="993300"/>
        <w:sz w:val="32"/>
        <w:szCs w:val="32"/>
      </w:rPr>
    </w:pPr>
  </w:p>
  <w:p w14:paraId="6CE3B117" w14:textId="77777777" w:rsidR="0054406D" w:rsidRDefault="0054406D" w:rsidP="00F81F75">
    <w:pPr>
      <w:rPr>
        <w:rFonts w:asciiTheme="minorHAnsi" w:hAnsiTheme="minorHAnsi"/>
        <w:b/>
        <w:color w:val="993300"/>
        <w:sz w:val="32"/>
        <w:szCs w:val="32"/>
      </w:rPr>
    </w:pPr>
  </w:p>
  <w:p w14:paraId="760DB238" w14:textId="77777777" w:rsidR="0054406D" w:rsidRDefault="0054406D" w:rsidP="00F81F75">
    <w:pPr>
      <w:rPr>
        <w:rFonts w:asciiTheme="minorHAnsi" w:hAnsiTheme="minorHAnsi"/>
        <w:b/>
        <w:color w:val="993300"/>
        <w:sz w:val="32"/>
        <w:szCs w:val="32"/>
      </w:rPr>
    </w:pPr>
    <w:r>
      <w:rPr>
        <w:rFonts w:asciiTheme="minorHAnsi" w:hAnsiTheme="minorHAnsi"/>
        <w:b/>
        <w:noProof/>
        <w:color w:val="993300"/>
        <w:sz w:val="32"/>
        <w:szCs w:val="32"/>
        <w:lang w:eastAsia="en-NZ"/>
      </w:rPr>
      <mc:AlternateContent>
        <mc:Choice Requires="wps">
          <w:drawing>
            <wp:anchor distT="0" distB="0" distL="114300" distR="114300" simplePos="0" relativeHeight="251658244" behindDoc="0" locked="0" layoutInCell="1" allowOverlap="1" wp14:anchorId="71EF7871" wp14:editId="0AEC6889">
              <wp:simplePos x="0" y="0"/>
              <wp:positionH relativeFrom="margin">
                <wp:posOffset>2766695</wp:posOffset>
              </wp:positionH>
              <wp:positionV relativeFrom="paragraph">
                <wp:posOffset>12065</wp:posOffset>
              </wp:positionV>
              <wp:extent cx="3209925" cy="6191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099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5E2DE" w14:textId="77777777" w:rsidR="0054406D" w:rsidRDefault="005440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F7871" id="_x0000_t202" coordsize="21600,21600" o:spt="202" path="m,l,21600r21600,l21600,xe">
              <v:stroke joinstyle="miter"/>
              <v:path gradientshapeok="t" o:connecttype="rect"/>
            </v:shapetype>
            <v:shape id="Text Box 5" o:spid="_x0000_s1030" type="#_x0000_t202" style="position:absolute;margin-left:217.85pt;margin-top:.95pt;width:252.75pt;height:48.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" filled="f" stroked="f" strokeweight=".5pt">
              <v:textbox>
                <w:txbxContent>
                  <w:p w14:paraId="6005E2DE" w14:textId="77777777" w:rsidR="0054406D" w:rsidRDefault="0054406D"/>
                </w:txbxContent>
              </v:textbox>
              <w10:wrap anchorx="margin"/>
            </v:shape>
          </w:pict>
        </mc:Fallback>
      </mc:AlternateContent>
    </w:r>
    <w:r>
      <w:rPr>
        <w:rFonts w:asciiTheme="minorHAnsi" w:hAnsiTheme="minorHAnsi"/>
        <w:b/>
        <w:color w:val="993300"/>
        <w:sz w:val="32"/>
        <w:szCs w:val="32"/>
      </w:rPr>
      <w:t xml:space="preserve">   </w:t>
    </w:r>
  </w:p>
  <w:p w14:paraId="067AF9B8" w14:textId="77777777" w:rsidR="0054406D" w:rsidRDefault="0054406D" w:rsidP="00F81F75">
    <w:pPr>
      <w:pStyle w:val="Header"/>
      <w:jc w:val="right"/>
    </w:pPr>
    <w:r w:rsidRPr="00223052">
      <w:rPr>
        <w:noProof/>
        <w:lang w:eastAsia="en-NZ"/>
      </w:rPr>
      <w:drawing>
        <wp:anchor distT="0" distB="0" distL="114300" distR="114300" simplePos="0" relativeHeight="251658243" behindDoc="1" locked="0" layoutInCell="1" allowOverlap="1" wp14:anchorId="2A730F63" wp14:editId="1B22049C">
          <wp:simplePos x="0" y="0"/>
          <wp:positionH relativeFrom="column">
            <wp:posOffset>-1550084</wp:posOffset>
          </wp:positionH>
          <wp:positionV relativeFrom="paragraph">
            <wp:posOffset>619125</wp:posOffset>
          </wp:positionV>
          <wp:extent cx="9596755" cy="7200705"/>
          <wp:effectExtent l="0" t="0" r="4445" b="635"/>
          <wp:wrapNone/>
          <wp:docPr id="245" name="Picture 245" descr="C:\Users\hempels\Downloads\10_11_20_Taputeranga_crayfish_MPF_00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pels\Downloads\10_11_20_Taputeranga_crayfish_MPF_0063.tif"/>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1682" t="132" r="-176" b="-132"/>
                  <a:stretch/>
                </pic:blipFill>
                <pic:spPr bwMode="auto">
                  <a:xfrm>
                    <a:off x="0" y="0"/>
                    <a:ext cx="9596755" cy="720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5A8D5" w14:textId="77777777" w:rsidR="0054406D" w:rsidRDefault="005440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2D781" w14:textId="77777777" w:rsidR="0054406D" w:rsidRDefault="0054406D" w:rsidP="00F81F7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6B139" w14:textId="77777777" w:rsidR="0054406D" w:rsidRDefault="0054406D" w:rsidP="00F81F7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333A"/>
    <w:multiLevelType w:val="multilevel"/>
    <w:tmpl w:val="141023E8"/>
    <w:lvl w:ilvl="0">
      <w:start w:val="12"/>
      <w:numFmt w:val="decimal"/>
      <w:lvlText w:val="%1."/>
      <w:lvlJc w:val="left"/>
      <w:pPr>
        <w:ind w:left="643" w:hanging="360"/>
      </w:pPr>
      <w:rPr>
        <w:rFonts w:ascii="Arial" w:hAnsi="Arial" w:cs="Arial" w:hint="default"/>
        <w:b w:val="0"/>
        <w:sz w:val="22"/>
        <w:szCs w:val="20"/>
      </w:rPr>
    </w:lvl>
    <w:lvl w:ilvl="1">
      <w:start w:val="1"/>
      <w:numFmt w:val="lowerLetter"/>
      <w:lvlText w:val="(%2)"/>
      <w:lvlJc w:val="left"/>
      <w:pPr>
        <w:ind w:left="750" w:hanging="390"/>
      </w:pPr>
      <w:rPr>
        <w:rFonts w:ascii="Arial" w:hAnsi="Arial" w:cs="Arial"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1D44A4"/>
    <w:multiLevelType w:val="multilevel"/>
    <w:tmpl w:val="8F60C50E"/>
    <w:lvl w:ilvl="0">
      <w:start w:val="25"/>
      <w:numFmt w:val="decimal"/>
      <w:lvlText w:val="%1."/>
      <w:lvlJc w:val="left"/>
      <w:pPr>
        <w:ind w:left="720" w:hanging="360"/>
      </w:pPr>
      <w:rPr>
        <w:rFonts w:ascii="Arial" w:hAnsi="Arial" w:cs="Arial" w:hint="default"/>
        <w:b w:val="0"/>
        <w:sz w:val="24"/>
        <w:szCs w:val="20"/>
      </w:rPr>
    </w:lvl>
    <w:lvl w:ilvl="1">
      <w:start w:val="1"/>
      <w:numFmt w:val="lowerLetter"/>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A97907"/>
    <w:multiLevelType w:val="hybridMultilevel"/>
    <w:tmpl w:val="67E2D200"/>
    <w:lvl w:ilvl="0" w:tplc="14090017">
      <w:start w:val="1"/>
      <w:numFmt w:val="lowerLetter"/>
      <w:lvlText w:val="%1)"/>
      <w:lvlJc w:val="left"/>
      <w:pPr>
        <w:ind w:left="1070" w:hanging="360"/>
      </w:pPr>
      <w:rPr>
        <w:rFonts w:hint="default"/>
      </w:rPr>
    </w:lvl>
    <w:lvl w:ilvl="1" w:tplc="14090019" w:tentative="1">
      <w:start w:val="1"/>
      <w:numFmt w:val="lowerLetter"/>
      <w:lvlText w:val="%2."/>
      <w:lvlJc w:val="left"/>
      <w:pPr>
        <w:ind w:left="1790" w:hanging="360"/>
      </w:pPr>
    </w:lvl>
    <w:lvl w:ilvl="2" w:tplc="1409001B" w:tentative="1">
      <w:start w:val="1"/>
      <w:numFmt w:val="lowerRoman"/>
      <w:lvlText w:val="%3."/>
      <w:lvlJc w:val="right"/>
      <w:pPr>
        <w:ind w:left="2510" w:hanging="180"/>
      </w:pPr>
    </w:lvl>
    <w:lvl w:ilvl="3" w:tplc="1409000F" w:tentative="1">
      <w:start w:val="1"/>
      <w:numFmt w:val="decimal"/>
      <w:lvlText w:val="%4."/>
      <w:lvlJc w:val="left"/>
      <w:pPr>
        <w:ind w:left="3230" w:hanging="360"/>
      </w:pPr>
    </w:lvl>
    <w:lvl w:ilvl="4" w:tplc="14090019" w:tentative="1">
      <w:start w:val="1"/>
      <w:numFmt w:val="lowerLetter"/>
      <w:lvlText w:val="%5."/>
      <w:lvlJc w:val="left"/>
      <w:pPr>
        <w:ind w:left="3950" w:hanging="360"/>
      </w:pPr>
    </w:lvl>
    <w:lvl w:ilvl="5" w:tplc="1409001B" w:tentative="1">
      <w:start w:val="1"/>
      <w:numFmt w:val="lowerRoman"/>
      <w:lvlText w:val="%6."/>
      <w:lvlJc w:val="right"/>
      <w:pPr>
        <w:ind w:left="4670" w:hanging="180"/>
      </w:pPr>
    </w:lvl>
    <w:lvl w:ilvl="6" w:tplc="1409000F" w:tentative="1">
      <w:start w:val="1"/>
      <w:numFmt w:val="decimal"/>
      <w:lvlText w:val="%7."/>
      <w:lvlJc w:val="left"/>
      <w:pPr>
        <w:ind w:left="5390" w:hanging="360"/>
      </w:pPr>
    </w:lvl>
    <w:lvl w:ilvl="7" w:tplc="14090019" w:tentative="1">
      <w:start w:val="1"/>
      <w:numFmt w:val="lowerLetter"/>
      <w:lvlText w:val="%8."/>
      <w:lvlJc w:val="left"/>
      <w:pPr>
        <w:ind w:left="6110" w:hanging="360"/>
      </w:pPr>
    </w:lvl>
    <w:lvl w:ilvl="8" w:tplc="1409001B" w:tentative="1">
      <w:start w:val="1"/>
      <w:numFmt w:val="lowerRoman"/>
      <w:lvlText w:val="%9."/>
      <w:lvlJc w:val="right"/>
      <w:pPr>
        <w:ind w:left="6830" w:hanging="180"/>
      </w:pPr>
    </w:lvl>
  </w:abstractNum>
  <w:abstractNum w:abstractNumId="3" w15:restartNumberingAfterBreak="0">
    <w:nsid w:val="0D37170C"/>
    <w:multiLevelType w:val="hybridMultilevel"/>
    <w:tmpl w:val="1B828C2C"/>
    <w:lvl w:ilvl="0" w:tplc="06F41E28">
      <w:start w:val="1"/>
      <w:numFmt w:val="decimal"/>
      <w:lvlText w:val="%1."/>
      <w:lvlJc w:val="left"/>
      <w:pPr>
        <w:ind w:left="720" w:hanging="360"/>
      </w:pPr>
      <w:rPr>
        <w:rFonts w:ascii="Arial" w:hAnsi="Arial" w:cs="Arial" w:hint="default"/>
        <w:b w:val="0"/>
        <w:sz w:val="24"/>
        <w:szCs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D663111"/>
    <w:multiLevelType w:val="hybridMultilevel"/>
    <w:tmpl w:val="67E2D200"/>
    <w:lvl w:ilvl="0" w:tplc="14090017">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5" w15:restartNumberingAfterBreak="0">
    <w:nsid w:val="0E3F401D"/>
    <w:multiLevelType w:val="hybridMultilevel"/>
    <w:tmpl w:val="EC8C6BB2"/>
    <w:lvl w:ilvl="0" w:tplc="14090017">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 w15:restartNumberingAfterBreak="0">
    <w:nsid w:val="12D05A26"/>
    <w:multiLevelType w:val="multilevel"/>
    <w:tmpl w:val="B93E391A"/>
    <w:lvl w:ilvl="0">
      <w:start w:val="2"/>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Narrow" w:hAnsi="Arial Narrow"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52D174F"/>
    <w:multiLevelType w:val="hybridMultilevel"/>
    <w:tmpl w:val="DDCA499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8075D2"/>
    <w:multiLevelType w:val="hybridMultilevel"/>
    <w:tmpl w:val="EC8C6BB2"/>
    <w:lvl w:ilvl="0" w:tplc="14090017">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9" w15:restartNumberingAfterBreak="0">
    <w:nsid w:val="1A3A63B8"/>
    <w:multiLevelType w:val="hybridMultilevel"/>
    <w:tmpl w:val="91C0F5C2"/>
    <w:lvl w:ilvl="0" w:tplc="0D54A974">
      <w:start w:val="13"/>
      <w:numFmt w:val="decimal"/>
      <w:lvlText w:val="%1."/>
      <w:lvlJc w:val="left"/>
      <w:pPr>
        <w:ind w:left="720" w:hanging="360"/>
      </w:pPr>
      <w:rPr>
        <w:rFonts w:ascii="Arial" w:hAnsi="Arial" w:cs="Arial" w:hint="default"/>
        <w:b w:val="0"/>
        <w:sz w:val="22"/>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06B6127"/>
    <w:multiLevelType w:val="hybridMultilevel"/>
    <w:tmpl w:val="B1BACEE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C23704B"/>
    <w:multiLevelType w:val="multilevel"/>
    <w:tmpl w:val="E77ACBD6"/>
    <w:lvl w:ilvl="0">
      <w:start w:val="1"/>
      <w:numFmt w:val="decimal"/>
      <w:pStyle w:val="Heading1"/>
      <w:lvlText w:val="%1"/>
      <w:lvlJc w:val="left"/>
      <w:pPr>
        <w:ind w:left="720" w:hanging="360"/>
      </w:pPr>
      <w:rPr>
        <w:rFonts w:hint="default"/>
      </w:rPr>
    </w:lvl>
    <w:lvl w:ilvl="1">
      <w:start w:val="1"/>
      <w:numFmt w:val="decimal"/>
      <w:isLgl/>
      <w:lvlText w:val="%1.%2"/>
      <w:lvlJc w:val="left"/>
      <w:pPr>
        <w:ind w:left="712"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EDF6E45"/>
    <w:multiLevelType w:val="multilevel"/>
    <w:tmpl w:val="A412D7C4"/>
    <w:lvl w:ilvl="0">
      <w:start w:val="11"/>
      <w:numFmt w:val="decimal"/>
      <w:lvlText w:val="%1."/>
      <w:lvlJc w:val="left"/>
      <w:pPr>
        <w:ind w:left="720" w:hanging="360"/>
      </w:pPr>
      <w:rPr>
        <w:rFonts w:ascii="Arial" w:hAnsi="Arial" w:cs="Arial" w:hint="default"/>
        <w:b w:val="0"/>
        <w:sz w:val="22"/>
        <w:szCs w:val="20"/>
      </w:rPr>
    </w:lvl>
    <w:lvl w:ilvl="1">
      <w:start w:val="35"/>
      <w:numFmt w:val="lowerLetter"/>
      <w:lvlText w:val="(%2)"/>
      <w:lvlJc w:val="left"/>
      <w:pPr>
        <w:ind w:left="750" w:hanging="390"/>
      </w:pPr>
      <w:rPr>
        <w:rFonts w:ascii="Arial" w:hAnsi="Arial" w:cs="Arial"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3115A4"/>
    <w:multiLevelType w:val="hybridMultilevel"/>
    <w:tmpl w:val="33800E64"/>
    <w:lvl w:ilvl="0" w:tplc="9306F420">
      <w:start w:val="1"/>
      <w:numFmt w:val="decimal"/>
      <w:lvlText w:val="%1."/>
      <w:lvlJc w:val="left"/>
      <w:pPr>
        <w:ind w:left="1287" w:hanging="360"/>
      </w:pPr>
      <w:rPr>
        <w:rFonts w:ascii="Arial" w:hAnsi="Arial" w:cs="Arial" w:hint="default"/>
        <w:b w:val="0"/>
        <w:sz w:val="24"/>
        <w:szCs w:val="24"/>
      </w:rPr>
    </w:lvl>
    <w:lvl w:ilvl="1" w:tplc="14090019">
      <w:start w:val="1"/>
      <w:numFmt w:val="lowerLetter"/>
      <w:lvlText w:val="%2."/>
      <w:lvlJc w:val="left"/>
      <w:pPr>
        <w:ind w:left="2007" w:hanging="360"/>
      </w:pPr>
    </w:lvl>
    <w:lvl w:ilvl="2" w:tplc="1409001B">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4" w15:restartNumberingAfterBreak="0">
    <w:nsid w:val="30476055"/>
    <w:multiLevelType w:val="hybridMultilevel"/>
    <w:tmpl w:val="D7AA35B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15:restartNumberingAfterBreak="0">
    <w:nsid w:val="3500015F"/>
    <w:multiLevelType w:val="hybridMultilevel"/>
    <w:tmpl w:val="915607D0"/>
    <w:lvl w:ilvl="0" w:tplc="37EE07FA">
      <w:start w:val="1"/>
      <w:numFmt w:val="decimal"/>
      <w:lvlText w:val="%1."/>
      <w:lvlJc w:val="left"/>
      <w:pPr>
        <w:ind w:left="720" w:hanging="360"/>
      </w:pPr>
      <w:rPr>
        <w:rFonts w:ascii="Arial" w:hAnsi="Arial" w:cs="Arial" w:hint="default"/>
        <w:b w:val="0"/>
        <w:sz w:val="22"/>
        <w:szCs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8990EB6"/>
    <w:multiLevelType w:val="hybridMultilevel"/>
    <w:tmpl w:val="122699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CF250B1"/>
    <w:multiLevelType w:val="hybridMultilevel"/>
    <w:tmpl w:val="C83C2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16340C5"/>
    <w:multiLevelType w:val="hybridMultilevel"/>
    <w:tmpl w:val="199CB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F02D74"/>
    <w:multiLevelType w:val="multilevel"/>
    <w:tmpl w:val="CBEA752A"/>
    <w:lvl w:ilvl="0">
      <w:start w:val="92"/>
      <w:numFmt w:val="decimal"/>
      <w:lvlText w:val="%1."/>
      <w:lvlJc w:val="left"/>
      <w:pPr>
        <w:ind w:left="720" w:hanging="360"/>
      </w:pPr>
      <w:rPr>
        <w:rFonts w:ascii="Arial" w:hAnsi="Arial" w:cs="Arial" w:hint="default"/>
        <w:sz w:val="22"/>
      </w:rPr>
    </w:lvl>
    <w:lvl w:ilvl="1">
      <w:start w:val="1"/>
      <w:numFmt w:val="lowerLetter"/>
      <w:lvlText w:val="%2)"/>
      <w:lvlJc w:val="left"/>
      <w:pPr>
        <w:ind w:left="750" w:hanging="390"/>
      </w:pPr>
      <w:rPr>
        <w:rFonts w:ascii="Arial" w:hAnsi="Arial" w:cs="Arial" w:hint="default"/>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C411AF0"/>
    <w:multiLevelType w:val="hybridMultilevel"/>
    <w:tmpl w:val="2FB6E0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0D95BDC"/>
    <w:multiLevelType w:val="hybridMultilevel"/>
    <w:tmpl w:val="A89043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571205CE"/>
    <w:multiLevelType w:val="hybridMultilevel"/>
    <w:tmpl w:val="CC0EE1EA"/>
    <w:lvl w:ilvl="0" w:tplc="DCD6B308">
      <w:start w:val="4"/>
      <w:numFmt w:val="decimal"/>
      <w:lvlText w:val="%1."/>
      <w:lvlJc w:val="left"/>
      <w:pPr>
        <w:ind w:left="720" w:hanging="360"/>
      </w:pPr>
      <w:rPr>
        <w:rFonts w:ascii="Arial" w:hAnsi="Arial" w:cs="Arial" w:hint="default"/>
        <w:b w:val="0"/>
        <w:sz w:val="22"/>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D5D0F98"/>
    <w:multiLevelType w:val="hybridMultilevel"/>
    <w:tmpl w:val="DAFC80E2"/>
    <w:lvl w:ilvl="0" w:tplc="79B49242">
      <w:start w:val="1"/>
      <w:numFmt w:val="decimal"/>
      <w:lvlText w:val="%1."/>
      <w:lvlJc w:val="left"/>
      <w:pPr>
        <w:ind w:left="720" w:hanging="360"/>
      </w:pPr>
      <w:rPr>
        <w:rFonts w:asciiTheme="minorHAnsi" w:hAnsiTheme="minorHAnsi" w:cstheme="minorHAnsi" w:hint="default"/>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EF51D35"/>
    <w:multiLevelType w:val="hybridMultilevel"/>
    <w:tmpl w:val="47CA9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A1326AD"/>
    <w:multiLevelType w:val="multilevel"/>
    <w:tmpl w:val="0ED2FF7A"/>
    <w:lvl w:ilvl="0">
      <w:start w:val="36"/>
      <w:numFmt w:val="decimal"/>
      <w:lvlText w:val="%1."/>
      <w:lvlJc w:val="left"/>
      <w:pPr>
        <w:ind w:left="643" w:hanging="360"/>
      </w:pPr>
      <w:rPr>
        <w:rFonts w:ascii="Arial" w:hAnsi="Arial" w:cs="Arial" w:hint="default"/>
        <w:b w:val="0"/>
        <w:sz w:val="20"/>
        <w:szCs w:val="20"/>
      </w:rPr>
    </w:lvl>
    <w:lvl w:ilvl="1">
      <w:start w:val="1"/>
      <w:numFmt w:val="lowerLetter"/>
      <w:lvlText w:val="%2)"/>
      <w:lvlJc w:val="left"/>
      <w:pPr>
        <w:ind w:left="750" w:hanging="39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EDF29C7"/>
    <w:multiLevelType w:val="hybridMultilevel"/>
    <w:tmpl w:val="FC3C1206"/>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7" w15:restartNumberingAfterBreak="0">
    <w:nsid w:val="7551030C"/>
    <w:multiLevelType w:val="hybridMultilevel"/>
    <w:tmpl w:val="8C1EC328"/>
    <w:lvl w:ilvl="0" w:tplc="76BC7538">
      <w:start w:val="1"/>
      <w:numFmt w:val="lowerLetter"/>
      <w:lvlText w:val="%1)"/>
      <w:lvlJc w:val="left"/>
      <w:pPr>
        <w:ind w:left="1077" w:hanging="360"/>
      </w:pPr>
      <w:rPr>
        <w:rFonts w:ascii="Arial" w:hAnsi="Arial" w:cs="Arial" w:hint="default"/>
        <w:sz w:val="22"/>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28" w15:restartNumberingAfterBreak="0">
    <w:nsid w:val="7EAC62CB"/>
    <w:multiLevelType w:val="multilevel"/>
    <w:tmpl w:val="9448133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26"/>
  </w:num>
  <w:num w:numId="3">
    <w:abstractNumId w:val="11"/>
  </w:num>
  <w:num w:numId="4">
    <w:abstractNumId w:val="6"/>
  </w:num>
  <w:num w:numId="5">
    <w:abstractNumId w:val="21"/>
  </w:num>
  <w:num w:numId="6">
    <w:abstractNumId w:val="7"/>
  </w:num>
  <w:num w:numId="7">
    <w:abstractNumId w:val="18"/>
  </w:num>
  <w:num w:numId="8">
    <w:abstractNumId w:val="2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0"/>
  </w:num>
  <w:num w:numId="12">
    <w:abstractNumId w:val="2"/>
  </w:num>
  <w:num w:numId="13">
    <w:abstractNumId w:val="28"/>
  </w:num>
  <w:num w:numId="14">
    <w:abstractNumId w:val="4"/>
  </w:num>
  <w:num w:numId="15">
    <w:abstractNumId w:val="5"/>
  </w:num>
  <w:num w:numId="16">
    <w:abstractNumId w:val="8"/>
  </w:num>
  <w:num w:numId="17">
    <w:abstractNumId w:val="12"/>
  </w:num>
  <w:num w:numId="18">
    <w:abstractNumId w:val="25"/>
  </w:num>
  <w:num w:numId="19">
    <w:abstractNumId w:val="0"/>
  </w:num>
  <w:num w:numId="20">
    <w:abstractNumId w:val="1"/>
  </w:num>
  <w:num w:numId="21">
    <w:abstractNumId w:val="3"/>
  </w:num>
  <w:num w:numId="22">
    <w:abstractNumId w:val="16"/>
  </w:num>
  <w:num w:numId="23">
    <w:abstractNumId w:val="10"/>
  </w:num>
  <w:num w:numId="24">
    <w:abstractNumId w:val="11"/>
  </w:num>
  <w:num w:numId="25">
    <w:abstractNumId w:val="9"/>
  </w:num>
  <w:num w:numId="26">
    <w:abstractNumId w:val="22"/>
  </w:num>
  <w:num w:numId="27">
    <w:abstractNumId w:val="11"/>
  </w:num>
  <w:num w:numId="28">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9"/>
  </w:num>
  <w:num w:numId="31">
    <w:abstractNumId w:val="23"/>
  </w:num>
  <w:num w:numId="32">
    <w:abstractNumId w:val="14"/>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202"/>
    <w:rsid w:val="00000F60"/>
    <w:rsid w:val="00001627"/>
    <w:rsid w:val="00011E42"/>
    <w:rsid w:val="000129AB"/>
    <w:rsid w:val="000136AE"/>
    <w:rsid w:val="00014185"/>
    <w:rsid w:val="000145A7"/>
    <w:rsid w:val="00027502"/>
    <w:rsid w:val="00030F96"/>
    <w:rsid w:val="000706F7"/>
    <w:rsid w:val="000750A4"/>
    <w:rsid w:val="00081EE7"/>
    <w:rsid w:val="00083E2C"/>
    <w:rsid w:val="00086289"/>
    <w:rsid w:val="00094BD8"/>
    <w:rsid w:val="000A0708"/>
    <w:rsid w:val="000A1FE9"/>
    <w:rsid w:val="000A2CDF"/>
    <w:rsid w:val="000B0A46"/>
    <w:rsid w:val="000B64D2"/>
    <w:rsid w:val="000C43B5"/>
    <w:rsid w:val="000C4B0D"/>
    <w:rsid w:val="000C4E7A"/>
    <w:rsid w:val="000D06CE"/>
    <w:rsid w:val="000D38A6"/>
    <w:rsid w:val="000E0AA7"/>
    <w:rsid w:val="000E51AE"/>
    <w:rsid w:val="000E6DD8"/>
    <w:rsid w:val="000F169C"/>
    <w:rsid w:val="000F6FC4"/>
    <w:rsid w:val="000F753A"/>
    <w:rsid w:val="00105969"/>
    <w:rsid w:val="00113152"/>
    <w:rsid w:val="00130EB6"/>
    <w:rsid w:val="00135FB1"/>
    <w:rsid w:val="001526FC"/>
    <w:rsid w:val="00153B7A"/>
    <w:rsid w:val="00157BE9"/>
    <w:rsid w:val="00161801"/>
    <w:rsid w:val="00161ED0"/>
    <w:rsid w:val="00167D53"/>
    <w:rsid w:val="001755D7"/>
    <w:rsid w:val="0018349E"/>
    <w:rsid w:val="00184DCC"/>
    <w:rsid w:val="00197590"/>
    <w:rsid w:val="001A47C5"/>
    <w:rsid w:val="001A7B78"/>
    <w:rsid w:val="001B3DC0"/>
    <w:rsid w:val="001D7E19"/>
    <w:rsid w:val="001E5202"/>
    <w:rsid w:val="001F7518"/>
    <w:rsid w:val="001F79F0"/>
    <w:rsid w:val="0020022A"/>
    <w:rsid w:val="002124F3"/>
    <w:rsid w:val="00222008"/>
    <w:rsid w:val="002232B7"/>
    <w:rsid w:val="00233783"/>
    <w:rsid w:val="002375B4"/>
    <w:rsid w:val="0026611B"/>
    <w:rsid w:val="00270442"/>
    <w:rsid w:val="0027150F"/>
    <w:rsid w:val="0027208E"/>
    <w:rsid w:val="002727C6"/>
    <w:rsid w:val="00275D41"/>
    <w:rsid w:val="00277ABF"/>
    <w:rsid w:val="002819D0"/>
    <w:rsid w:val="002823B4"/>
    <w:rsid w:val="002866F3"/>
    <w:rsid w:val="00291E71"/>
    <w:rsid w:val="0029637D"/>
    <w:rsid w:val="002A374F"/>
    <w:rsid w:val="002A38F0"/>
    <w:rsid w:val="002B17A4"/>
    <w:rsid w:val="002B23F2"/>
    <w:rsid w:val="002B427D"/>
    <w:rsid w:val="002B71FA"/>
    <w:rsid w:val="002B7E06"/>
    <w:rsid w:val="002C54A7"/>
    <w:rsid w:val="002C74C2"/>
    <w:rsid w:val="002D0764"/>
    <w:rsid w:val="002D548F"/>
    <w:rsid w:val="002D7AAE"/>
    <w:rsid w:val="002E3431"/>
    <w:rsid w:val="002E343D"/>
    <w:rsid w:val="002F23B9"/>
    <w:rsid w:val="002F42FC"/>
    <w:rsid w:val="002F5415"/>
    <w:rsid w:val="00300FBD"/>
    <w:rsid w:val="003134EB"/>
    <w:rsid w:val="0031449C"/>
    <w:rsid w:val="0031641A"/>
    <w:rsid w:val="0033679C"/>
    <w:rsid w:val="00342CA5"/>
    <w:rsid w:val="00356E7E"/>
    <w:rsid w:val="003639A4"/>
    <w:rsid w:val="00372A41"/>
    <w:rsid w:val="00377E69"/>
    <w:rsid w:val="00380799"/>
    <w:rsid w:val="00386A35"/>
    <w:rsid w:val="0039201D"/>
    <w:rsid w:val="00395ACF"/>
    <w:rsid w:val="003978DD"/>
    <w:rsid w:val="003A634A"/>
    <w:rsid w:val="003B3507"/>
    <w:rsid w:val="003B548D"/>
    <w:rsid w:val="003B5A12"/>
    <w:rsid w:val="003B663B"/>
    <w:rsid w:val="003B7FD7"/>
    <w:rsid w:val="003C1C4A"/>
    <w:rsid w:val="003C6154"/>
    <w:rsid w:val="003E063E"/>
    <w:rsid w:val="003E3C7B"/>
    <w:rsid w:val="003F3682"/>
    <w:rsid w:val="00403F63"/>
    <w:rsid w:val="00405A65"/>
    <w:rsid w:val="00420700"/>
    <w:rsid w:val="00420FD6"/>
    <w:rsid w:val="00426161"/>
    <w:rsid w:val="004316B8"/>
    <w:rsid w:val="00435A41"/>
    <w:rsid w:val="0044012F"/>
    <w:rsid w:val="004474BD"/>
    <w:rsid w:val="0046636C"/>
    <w:rsid w:val="00471740"/>
    <w:rsid w:val="0047210D"/>
    <w:rsid w:val="00483EE7"/>
    <w:rsid w:val="0048790D"/>
    <w:rsid w:val="00490143"/>
    <w:rsid w:val="004B52B5"/>
    <w:rsid w:val="004B555C"/>
    <w:rsid w:val="004E2757"/>
    <w:rsid w:val="004E2871"/>
    <w:rsid w:val="004E2FCA"/>
    <w:rsid w:val="004F0B08"/>
    <w:rsid w:val="004F11BA"/>
    <w:rsid w:val="004F1B03"/>
    <w:rsid w:val="00502928"/>
    <w:rsid w:val="00503282"/>
    <w:rsid w:val="005077A8"/>
    <w:rsid w:val="00526225"/>
    <w:rsid w:val="005278EE"/>
    <w:rsid w:val="00540289"/>
    <w:rsid w:val="005406C7"/>
    <w:rsid w:val="0054406D"/>
    <w:rsid w:val="005467BA"/>
    <w:rsid w:val="0055420B"/>
    <w:rsid w:val="005556B6"/>
    <w:rsid w:val="00556109"/>
    <w:rsid w:val="005741F5"/>
    <w:rsid w:val="0057475E"/>
    <w:rsid w:val="005767FD"/>
    <w:rsid w:val="00592002"/>
    <w:rsid w:val="005B4E7B"/>
    <w:rsid w:val="005C1CE5"/>
    <w:rsid w:val="005D05EB"/>
    <w:rsid w:val="005E27A0"/>
    <w:rsid w:val="005E506A"/>
    <w:rsid w:val="005E78F3"/>
    <w:rsid w:val="005F22BA"/>
    <w:rsid w:val="005F7E3D"/>
    <w:rsid w:val="00613F67"/>
    <w:rsid w:val="006316AE"/>
    <w:rsid w:val="006545D3"/>
    <w:rsid w:val="006604B2"/>
    <w:rsid w:val="006765C3"/>
    <w:rsid w:val="00680A71"/>
    <w:rsid w:val="00687024"/>
    <w:rsid w:val="00690830"/>
    <w:rsid w:val="006959F0"/>
    <w:rsid w:val="00697E38"/>
    <w:rsid w:val="006A3C65"/>
    <w:rsid w:val="006A3FD7"/>
    <w:rsid w:val="006A5E9C"/>
    <w:rsid w:val="006B0C03"/>
    <w:rsid w:val="006B4070"/>
    <w:rsid w:val="006B68F3"/>
    <w:rsid w:val="006C337B"/>
    <w:rsid w:val="006C4CA0"/>
    <w:rsid w:val="006C65D6"/>
    <w:rsid w:val="006D0FDC"/>
    <w:rsid w:val="006E06EF"/>
    <w:rsid w:val="006E2DEF"/>
    <w:rsid w:val="00710B4B"/>
    <w:rsid w:val="007206EC"/>
    <w:rsid w:val="00724DB5"/>
    <w:rsid w:val="007309A9"/>
    <w:rsid w:val="00732650"/>
    <w:rsid w:val="007440F3"/>
    <w:rsid w:val="00756AD5"/>
    <w:rsid w:val="00762F45"/>
    <w:rsid w:val="007750D7"/>
    <w:rsid w:val="0077540F"/>
    <w:rsid w:val="00786D81"/>
    <w:rsid w:val="007879A2"/>
    <w:rsid w:val="007908B4"/>
    <w:rsid w:val="00793EE3"/>
    <w:rsid w:val="00795983"/>
    <w:rsid w:val="00796964"/>
    <w:rsid w:val="007A6AD7"/>
    <w:rsid w:val="007B38C1"/>
    <w:rsid w:val="007B39F3"/>
    <w:rsid w:val="007B6F09"/>
    <w:rsid w:val="007C1732"/>
    <w:rsid w:val="007C4B5E"/>
    <w:rsid w:val="007C74C8"/>
    <w:rsid w:val="007C7DC5"/>
    <w:rsid w:val="007D1930"/>
    <w:rsid w:val="007E0DFF"/>
    <w:rsid w:val="007F4CDD"/>
    <w:rsid w:val="007F73C2"/>
    <w:rsid w:val="0080463D"/>
    <w:rsid w:val="0081078E"/>
    <w:rsid w:val="0081648C"/>
    <w:rsid w:val="00824FBA"/>
    <w:rsid w:val="0083144C"/>
    <w:rsid w:val="008335C9"/>
    <w:rsid w:val="00842780"/>
    <w:rsid w:val="00853D93"/>
    <w:rsid w:val="00855B97"/>
    <w:rsid w:val="00856A50"/>
    <w:rsid w:val="00857D97"/>
    <w:rsid w:val="00867ABD"/>
    <w:rsid w:val="008751CB"/>
    <w:rsid w:val="00881428"/>
    <w:rsid w:val="00882679"/>
    <w:rsid w:val="0088491B"/>
    <w:rsid w:val="0088737F"/>
    <w:rsid w:val="00887A9E"/>
    <w:rsid w:val="008B1B8F"/>
    <w:rsid w:val="008B55A5"/>
    <w:rsid w:val="008B6F19"/>
    <w:rsid w:val="008C730F"/>
    <w:rsid w:val="008D2461"/>
    <w:rsid w:val="008D46C3"/>
    <w:rsid w:val="008D6F87"/>
    <w:rsid w:val="008E42C9"/>
    <w:rsid w:val="008E5351"/>
    <w:rsid w:val="008E557D"/>
    <w:rsid w:val="008E5664"/>
    <w:rsid w:val="008E7BB4"/>
    <w:rsid w:val="008F78E8"/>
    <w:rsid w:val="00904ABA"/>
    <w:rsid w:val="00910FC4"/>
    <w:rsid w:val="00920132"/>
    <w:rsid w:val="00926671"/>
    <w:rsid w:val="009307FA"/>
    <w:rsid w:val="00934235"/>
    <w:rsid w:val="00942C77"/>
    <w:rsid w:val="00943466"/>
    <w:rsid w:val="0095021F"/>
    <w:rsid w:val="00960DE0"/>
    <w:rsid w:val="00961290"/>
    <w:rsid w:val="00966C59"/>
    <w:rsid w:val="00966DD6"/>
    <w:rsid w:val="009672B7"/>
    <w:rsid w:val="009725CC"/>
    <w:rsid w:val="00982C6D"/>
    <w:rsid w:val="00985BFA"/>
    <w:rsid w:val="00986F56"/>
    <w:rsid w:val="00997C5A"/>
    <w:rsid w:val="009B13ED"/>
    <w:rsid w:val="009D1C04"/>
    <w:rsid w:val="009D73C3"/>
    <w:rsid w:val="009D781E"/>
    <w:rsid w:val="009E4D36"/>
    <w:rsid w:val="00A004CC"/>
    <w:rsid w:val="00A11EED"/>
    <w:rsid w:val="00A13239"/>
    <w:rsid w:val="00A23906"/>
    <w:rsid w:val="00A5324E"/>
    <w:rsid w:val="00A61ED9"/>
    <w:rsid w:val="00A633F8"/>
    <w:rsid w:val="00A64F59"/>
    <w:rsid w:val="00A72F36"/>
    <w:rsid w:val="00A76179"/>
    <w:rsid w:val="00A95689"/>
    <w:rsid w:val="00AA19F6"/>
    <w:rsid w:val="00AA471C"/>
    <w:rsid w:val="00AB5AC9"/>
    <w:rsid w:val="00AB6EC9"/>
    <w:rsid w:val="00AC541B"/>
    <w:rsid w:val="00AD1A2E"/>
    <w:rsid w:val="00AE2F0E"/>
    <w:rsid w:val="00AE5C4A"/>
    <w:rsid w:val="00AE673F"/>
    <w:rsid w:val="00AE6D2B"/>
    <w:rsid w:val="00B06352"/>
    <w:rsid w:val="00B15643"/>
    <w:rsid w:val="00B175B7"/>
    <w:rsid w:val="00B35141"/>
    <w:rsid w:val="00B3771B"/>
    <w:rsid w:val="00B40DA3"/>
    <w:rsid w:val="00B4198E"/>
    <w:rsid w:val="00B505D0"/>
    <w:rsid w:val="00B50C94"/>
    <w:rsid w:val="00B71C39"/>
    <w:rsid w:val="00B80E5A"/>
    <w:rsid w:val="00B811B6"/>
    <w:rsid w:val="00B86900"/>
    <w:rsid w:val="00B91EAB"/>
    <w:rsid w:val="00BB3C0D"/>
    <w:rsid w:val="00BC22D9"/>
    <w:rsid w:val="00BD2010"/>
    <w:rsid w:val="00BD6B9B"/>
    <w:rsid w:val="00BF32D5"/>
    <w:rsid w:val="00BF40AF"/>
    <w:rsid w:val="00BF5713"/>
    <w:rsid w:val="00BF7453"/>
    <w:rsid w:val="00C004A0"/>
    <w:rsid w:val="00C032FB"/>
    <w:rsid w:val="00C07ED0"/>
    <w:rsid w:val="00C1118A"/>
    <w:rsid w:val="00C1510A"/>
    <w:rsid w:val="00C17A39"/>
    <w:rsid w:val="00C40261"/>
    <w:rsid w:val="00C43EEA"/>
    <w:rsid w:val="00C53CC7"/>
    <w:rsid w:val="00C55DBC"/>
    <w:rsid w:val="00C73D6A"/>
    <w:rsid w:val="00C8258C"/>
    <w:rsid w:val="00CA2F99"/>
    <w:rsid w:val="00CA3D9A"/>
    <w:rsid w:val="00CC5049"/>
    <w:rsid w:val="00CD0541"/>
    <w:rsid w:val="00CD067B"/>
    <w:rsid w:val="00CD657E"/>
    <w:rsid w:val="00CD7DA7"/>
    <w:rsid w:val="00CE29B5"/>
    <w:rsid w:val="00CE3A4C"/>
    <w:rsid w:val="00CE4AE5"/>
    <w:rsid w:val="00CE54BA"/>
    <w:rsid w:val="00D00A8B"/>
    <w:rsid w:val="00D0471F"/>
    <w:rsid w:val="00D15A23"/>
    <w:rsid w:val="00D21C88"/>
    <w:rsid w:val="00D227EE"/>
    <w:rsid w:val="00D30C03"/>
    <w:rsid w:val="00D36DF6"/>
    <w:rsid w:val="00D42E7A"/>
    <w:rsid w:val="00D53AFA"/>
    <w:rsid w:val="00D57F9F"/>
    <w:rsid w:val="00D71727"/>
    <w:rsid w:val="00D72022"/>
    <w:rsid w:val="00D72863"/>
    <w:rsid w:val="00D979B1"/>
    <w:rsid w:val="00DA2345"/>
    <w:rsid w:val="00DA30EB"/>
    <w:rsid w:val="00DB1D46"/>
    <w:rsid w:val="00DB2902"/>
    <w:rsid w:val="00DB3227"/>
    <w:rsid w:val="00DC673F"/>
    <w:rsid w:val="00DC691A"/>
    <w:rsid w:val="00DE3A20"/>
    <w:rsid w:val="00DE3ECB"/>
    <w:rsid w:val="00DF3B3B"/>
    <w:rsid w:val="00E0247D"/>
    <w:rsid w:val="00E121EF"/>
    <w:rsid w:val="00E1331C"/>
    <w:rsid w:val="00E1727C"/>
    <w:rsid w:val="00E21388"/>
    <w:rsid w:val="00E21F5D"/>
    <w:rsid w:val="00E22B6D"/>
    <w:rsid w:val="00E331D3"/>
    <w:rsid w:val="00E4177F"/>
    <w:rsid w:val="00E56A94"/>
    <w:rsid w:val="00E917DD"/>
    <w:rsid w:val="00E95099"/>
    <w:rsid w:val="00EB7920"/>
    <w:rsid w:val="00EC1D35"/>
    <w:rsid w:val="00ED34E1"/>
    <w:rsid w:val="00EE3AA8"/>
    <w:rsid w:val="00EE45D7"/>
    <w:rsid w:val="00EF0C67"/>
    <w:rsid w:val="00EF4F97"/>
    <w:rsid w:val="00F0009F"/>
    <w:rsid w:val="00F00A54"/>
    <w:rsid w:val="00F03F7D"/>
    <w:rsid w:val="00F1422F"/>
    <w:rsid w:val="00F16514"/>
    <w:rsid w:val="00F24883"/>
    <w:rsid w:val="00F2709A"/>
    <w:rsid w:val="00F30E95"/>
    <w:rsid w:val="00F35025"/>
    <w:rsid w:val="00F351FD"/>
    <w:rsid w:val="00F36E8D"/>
    <w:rsid w:val="00F44A00"/>
    <w:rsid w:val="00F45D37"/>
    <w:rsid w:val="00F51A49"/>
    <w:rsid w:val="00F74364"/>
    <w:rsid w:val="00F81F75"/>
    <w:rsid w:val="00F821E5"/>
    <w:rsid w:val="00F969AA"/>
    <w:rsid w:val="00FA5C0D"/>
    <w:rsid w:val="00FA72C5"/>
    <w:rsid w:val="00FC4EAB"/>
    <w:rsid w:val="00FD2ACE"/>
    <w:rsid w:val="00FF4D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DFF4"/>
  <w15:chartTrackingRefBased/>
  <w15:docId w15:val="{6E6FC6A4-6353-4520-80FB-9A56B70B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202"/>
    <w:pPr>
      <w:spacing w:after="0" w:line="240" w:lineRule="auto"/>
      <w:contextualSpacing/>
    </w:pPr>
    <w:rPr>
      <w:rFonts w:ascii="Calibri" w:eastAsia="Times New Roman" w:hAnsi="Calibri" w:cs="Times New Roman"/>
      <w:sz w:val="24"/>
      <w:szCs w:val="20"/>
    </w:rPr>
  </w:style>
  <w:style w:type="paragraph" w:styleId="Heading1">
    <w:name w:val="heading 1"/>
    <w:aliases w:val="Heading 21,Chapter Title,PA Major Section,h2,Major,2,sub-sect,21,sub-sect1,22,sub-sect2,23,sub-sect3,24,sub-sect4,25,sub-sect5,(1.1,1.2,1.3 etc),PARA2,PARA21,Major1,PARA22,Reset numbering,H2,Heading 2 Number,Heading 2a,T2,Heading,PARA23,T21"/>
    <w:next w:val="Normal"/>
    <w:link w:val="Heading1Char"/>
    <w:qFormat/>
    <w:rsid w:val="001E5202"/>
    <w:pPr>
      <w:keepNext/>
      <w:numPr>
        <w:numId w:val="27"/>
      </w:numPr>
      <w:spacing w:before="240" w:after="60" w:line="240" w:lineRule="auto"/>
      <w:outlineLvl w:val="0"/>
    </w:pPr>
    <w:rPr>
      <w:rFonts w:ascii="Arial Narrow" w:eastAsia="Times New Roman" w:hAnsi="Arial Narrow" w:cs="Times New Roman"/>
      <w:b/>
      <w:kern w:val="28"/>
      <w:sz w:val="36"/>
      <w:szCs w:val="20"/>
    </w:rPr>
  </w:style>
  <w:style w:type="paragraph" w:styleId="Heading2">
    <w:name w:val="heading 2"/>
    <w:basedOn w:val="Normal"/>
    <w:next w:val="Normal"/>
    <w:link w:val="Heading2Char"/>
    <w:unhideWhenUsed/>
    <w:qFormat/>
    <w:rsid w:val="007A6AD7"/>
    <w:pPr>
      <w:keepNext/>
      <w:numPr>
        <w:ilvl w:val="1"/>
        <w:numId w:val="4"/>
      </w:numPr>
      <w:spacing w:before="240" w:after="120"/>
      <w:contextualSpacing w:val="0"/>
      <w:outlineLvl w:val="1"/>
    </w:pPr>
    <w:rPr>
      <w:rFonts w:ascii="Arial Narrow" w:eastAsiaTheme="majorEastAsia" w:hAnsi="Arial Narrow" w:cs="Arial"/>
      <w:b/>
      <w:caps/>
      <w:sz w:val="28"/>
      <w:szCs w:val="26"/>
    </w:rPr>
  </w:style>
  <w:style w:type="paragraph" w:styleId="Heading3">
    <w:name w:val="heading 3"/>
    <w:basedOn w:val="Normal"/>
    <w:next w:val="Normal"/>
    <w:link w:val="Heading3Char"/>
    <w:unhideWhenUsed/>
    <w:qFormat/>
    <w:rsid w:val="007A6AD7"/>
    <w:pPr>
      <w:keepNext/>
      <w:keepLines/>
      <w:spacing w:before="240" w:after="120"/>
      <w:contextualSpacing w:val="0"/>
      <w:outlineLvl w:val="2"/>
    </w:pPr>
    <w:rPr>
      <w:rFonts w:ascii="Arial Narrow" w:eastAsiaTheme="majorEastAsia" w:hAnsi="Arial Narrow" w:cstheme="majorBidi"/>
      <w:b/>
      <w:szCs w:val="24"/>
    </w:rPr>
  </w:style>
  <w:style w:type="paragraph" w:styleId="Heading4">
    <w:name w:val="heading 4"/>
    <w:basedOn w:val="Normal"/>
    <w:next w:val="Normal"/>
    <w:link w:val="Heading4Char"/>
    <w:qFormat/>
    <w:rsid w:val="00786D81"/>
    <w:pPr>
      <w:keepNext/>
      <w:spacing w:before="240" w:after="60"/>
      <w:ind w:left="864" w:hanging="864"/>
      <w:contextualSpacing w:val="0"/>
      <w:outlineLvl w:val="3"/>
    </w:pPr>
    <w:rPr>
      <w:rFonts w:ascii="Arial Narrow" w:hAnsi="Arial Narrow"/>
      <w:i/>
    </w:rPr>
  </w:style>
  <w:style w:type="paragraph" w:styleId="Heading5">
    <w:name w:val="heading 5"/>
    <w:basedOn w:val="Normal"/>
    <w:next w:val="Normal"/>
    <w:link w:val="Heading5Char"/>
    <w:qFormat/>
    <w:rsid w:val="00786D81"/>
    <w:pPr>
      <w:spacing w:before="240" w:after="60"/>
      <w:ind w:left="1008" w:hanging="1008"/>
      <w:contextualSpacing w:val="0"/>
      <w:outlineLvl w:val="4"/>
    </w:pPr>
    <w:rPr>
      <w:b/>
      <w:bCs/>
      <w:i/>
      <w:iCs/>
      <w:sz w:val="26"/>
      <w:szCs w:val="26"/>
    </w:rPr>
  </w:style>
  <w:style w:type="paragraph" w:styleId="Heading6">
    <w:name w:val="heading 6"/>
    <w:basedOn w:val="Normal"/>
    <w:next w:val="Normal"/>
    <w:link w:val="Heading6Char"/>
    <w:qFormat/>
    <w:rsid w:val="00786D81"/>
    <w:pPr>
      <w:spacing w:before="240" w:after="60"/>
      <w:ind w:left="1152" w:hanging="1152"/>
      <w:contextualSpacing w:val="0"/>
      <w:outlineLvl w:val="5"/>
    </w:pPr>
    <w:rPr>
      <w:b/>
      <w:bCs/>
      <w:sz w:val="22"/>
      <w:szCs w:val="22"/>
    </w:rPr>
  </w:style>
  <w:style w:type="paragraph" w:styleId="Heading7">
    <w:name w:val="heading 7"/>
    <w:basedOn w:val="Normal"/>
    <w:next w:val="Normal"/>
    <w:link w:val="Heading7Char"/>
    <w:qFormat/>
    <w:rsid w:val="00786D81"/>
    <w:pPr>
      <w:spacing w:before="240" w:after="60"/>
      <w:ind w:left="1296" w:hanging="1296"/>
      <w:contextualSpacing w:val="0"/>
      <w:outlineLvl w:val="6"/>
    </w:pPr>
    <w:rPr>
      <w:szCs w:val="24"/>
    </w:rPr>
  </w:style>
  <w:style w:type="paragraph" w:styleId="Heading8">
    <w:name w:val="heading 8"/>
    <w:basedOn w:val="Normal"/>
    <w:next w:val="Normal"/>
    <w:link w:val="Heading8Char"/>
    <w:qFormat/>
    <w:rsid w:val="00786D81"/>
    <w:pPr>
      <w:spacing w:before="240" w:after="60"/>
      <w:ind w:left="1440" w:hanging="1440"/>
      <w:contextualSpacing w:val="0"/>
      <w:outlineLvl w:val="7"/>
    </w:pPr>
    <w:rPr>
      <w:i/>
      <w:iCs/>
      <w:szCs w:val="24"/>
    </w:rPr>
  </w:style>
  <w:style w:type="paragraph" w:styleId="Heading9">
    <w:name w:val="heading 9"/>
    <w:basedOn w:val="Normal"/>
    <w:next w:val="Normal"/>
    <w:link w:val="Heading9Char"/>
    <w:qFormat/>
    <w:rsid w:val="00786D81"/>
    <w:pPr>
      <w:spacing w:before="240" w:after="60"/>
      <w:ind w:left="1584" w:hanging="1584"/>
      <w:contextualSpacing w:val="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1 Char,Chapter Title Char,PA Major Section Char,h2 Char,Major Char,2 Char,sub-sect Char,21 Char,sub-sect1 Char,22 Char,sub-sect2 Char,23 Char,sub-sect3 Char,24 Char,sub-sect4 Char,25 Char,sub-sect5 Char,(1.1 Char,1.2 Char,H2 Char"/>
    <w:basedOn w:val="DefaultParagraphFont"/>
    <w:link w:val="Heading1"/>
    <w:rsid w:val="001E5202"/>
    <w:rPr>
      <w:rFonts w:ascii="Arial Narrow" w:eastAsia="Times New Roman" w:hAnsi="Arial Narrow" w:cs="Times New Roman"/>
      <w:b/>
      <w:kern w:val="28"/>
      <w:sz w:val="36"/>
      <w:szCs w:val="20"/>
    </w:rPr>
  </w:style>
  <w:style w:type="paragraph" w:customStyle="1" w:styleId="Contents">
    <w:name w:val="Contents"/>
    <w:basedOn w:val="Normal"/>
    <w:rsid w:val="001E5202"/>
    <w:pPr>
      <w:pBdr>
        <w:bottom w:val="single" w:sz="4" w:space="1" w:color="auto"/>
      </w:pBdr>
      <w:tabs>
        <w:tab w:val="right" w:pos="9071"/>
      </w:tabs>
    </w:pPr>
    <w:rPr>
      <w:rFonts w:ascii="Arial Narrow" w:hAnsi="Arial Narrow"/>
      <w:b/>
      <w:sz w:val="36"/>
    </w:rPr>
  </w:style>
  <w:style w:type="paragraph" w:styleId="Footer">
    <w:name w:val="footer"/>
    <w:basedOn w:val="Normal"/>
    <w:link w:val="FooterChar"/>
    <w:qFormat/>
    <w:rsid w:val="001E5202"/>
    <w:pPr>
      <w:tabs>
        <w:tab w:val="center" w:pos="4320"/>
        <w:tab w:val="right" w:pos="8640"/>
      </w:tabs>
    </w:pPr>
    <w:rPr>
      <w:rFonts w:ascii="Arial Narrow" w:hAnsi="Arial Narrow"/>
      <w:sz w:val="18"/>
    </w:rPr>
  </w:style>
  <w:style w:type="character" w:customStyle="1" w:styleId="FooterChar">
    <w:name w:val="Footer Char"/>
    <w:basedOn w:val="DefaultParagraphFont"/>
    <w:link w:val="Footer"/>
    <w:rsid w:val="001E5202"/>
    <w:rPr>
      <w:rFonts w:ascii="Arial Narrow" w:eastAsia="Times New Roman" w:hAnsi="Arial Narrow" w:cs="Times New Roman"/>
      <w:sz w:val="18"/>
      <w:szCs w:val="20"/>
    </w:rPr>
  </w:style>
  <w:style w:type="paragraph" w:styleId="Header">
    <w:name w:val="header"/>
    <w:basedOn w:val="Normal"/>
    <w:link w:val="HeaderChar"/>
    <w:rsid w:val="001E5202"/>
    <w:pPr>
      <w:tabs>
        <w:tab w:val="center" w:pos="4320"/>
        <w:tab w:val="right" w:pos="8640"/>
      </w:tabs>
    </w:pPr>
  </w:style>
  <w:style w:type="character" w:customStyle="1" w:styleId="HeaderChar">
    <w:name w:val="Header Char"/>
    <w:basedOn w:val="DefaultParagraphFont"/>
    <w:link w:val="Header"/>
    <w:rsid w:val="001E5202"/>
    <w:rPr>
      <w:rFonts w:ascii="Calibri" w:eastAsia="Times New Roman" w:hAnsi="Calibri" w:cs="Times New Roman"/>
      <w:sz w:val="24"/>
      <w:szCs w:val="20"/>
    </w:rPr>
  </w:style>
  <w:style w:type="character" w:styleId="PageNumber">
    <w:name w:val="page number"/>
    <w:basedOn w:val="DefaultParagraphFont"/>
    <w:rsid w:val="001E5202"/>
    <w:rPr>
      <w:rFonts w:ascii="Arial Narrow" w:hAnsi="Arial Narrow"/>
      <w:sz w:val="18"/>
    </w:rPr>
  </w:style>
  <w:style w:type="paragraph" w:styleId="TOC1">
    <w:name w:val="toc 1"/>
    <w:basedOn w:val="Normal"/>
    <w:uiPriority w:val="39"/>
    <w:rsid w:val="001E5202"/>
    <w:pPr>
      <w:tabs>
        <w:tab w:val="right" w:pos="9072"/>
      </w:tabs>
      <w:spacing w:before="120" w:after="120"/>
      <w:ind w:left="567" w:hanging="567"/>
    </w:pPr>
    <w:rPr>
      <w:rFonts w:ascii="Arial Narrow" w:hAnsi="Arial Narrow"/>
      <w:b/>
      <w:noProof/>
    </w:rPr>
  </w:style>
  <w:style w:type="paragraph" w:customStyle="1" w:styleId="ReturnAddress">
    <w:name w:val="Return Address"/>
    <w:basedOn w:val="Normal"/>
    <w:rsid w:val="001E5202"/>
    <w:pPr>
      <w:jc w:val="center"/>
    </w:pPr>
    <w:rPr>
      <w:spacing w:val="-3"/>
      <w:sz w:val="20"/>
      <w:lang w:val="en-AU"/>
    </w:rPr>
  </w:style>
  <w:style w:type="paragraph" w:styleId="Title">
    <w:name w:val="Title"/>
    <w:basedOn w:val="Normal"/>
    <w:link w:val="TitleChar"/>
    <w:qFormat/>
    <w:rsid w:val="001E5202"/>
    <w:pPr>
      <w:spacing w:before="240" w:after="60"/>
    </w:pPr>
    <w:rPr>
      <w:rFonts w:ascii="Arial Narrow" w:hAnsi="Arial Narrow" w:cs="Arial"/>
      <w:b/>
      <w:bCs/>
      <w:kern w:val="28"/>
      <w:sz w:val="48"/>
      <w:szCs w:val="32"/>
    </w:rPr>
  </w:style>
  <w:style w:type="character" w:customStyle="1" w:styleId="TitleChar">
    <w:name w:val="Title Char"/>
    <w:basedOn w:val="DefaultParagraphFont"/>
    <w:link w:val="Title"/>
    <w:rsid w:val="001E5202"/>
    <w:rPr>
      <w:rFonts w:ascii="Arial Narrow" w:eastAsia="Times New Roman" w:hAnsi="Arial Narrow" w:cs="Arial"/>
      <w:b/>
      <w:bCs/>
      <w:kern w:val="28"/>
      <w:sz w:val="48"/>
      <w:szCs w:val="32"/>
    </w:rPr>
  </w:style>
  <w:style w:type="paragraph" w:styleId="Subtitle">
    <w:name w:val="Subtitle"/>
    <w:basedOn w:val="Normal"/>
    <w:link w:val="SubtitleChar"/>
    <w:qFormat/>
    <w:rsid w:val="001E5202"/>
    <w:pPr>
      <w:spacing w:after="60"/>
    </w:pPr>
    <w:rPr>
      <w:rFonts w:ascii="Arial Narrow" w:hAnsi="Arial Narrow" w:cs="Arial"/>
      <w:b/>
      <w:sz w:val="28"/>
      <w:szCs w:val="24"/>
    </w:rPr>
  </w:style>
  <w:style w:type="character" w:customStyle="1" w:styleId="SubtitleChar">
    <w:name w:val="Subtitle Char"/>
    <w:basedOn w:val="DefaultParagraphFont"/>
    <w:link w:val="Subtitle"/>
    <w:rsid w:val="001E5202"/>
    <w:rPr>
      <w:rFonts w:ascii="Arial Narrow" w:eastAsia="Times New Roman" w:hAnsi="Arial Narrow" w:cs="Arial"/>
      <w:b/>
      <w:sz w:val="28"/>
      <w:szCs w:val="24"/>
    </w:rPr>
  </w:style>
  <w:style w:type="paragraph" w:customStyle="1" w:styleId="ISBN">
    <w:name w:val="ISBN"/>
    <w:basedOn w:val="Normal"/>
    <w:rsid w:val="001E5202"/>
    <w:rPr>
      <w:rFonts w:ascii="Arial Narrow" w:hAnsi="Arial Narrow"/>
    </w:rPr>
  </w:style>
  <w:style w:type="paragraph" w:customStyle="1" w:styleId="Date-frontpage">
    <w:name w:val="Date-front page"/>
    <w:basedOn w:val="ReturnAddress"/>
    <w:rsid w:val="001E5202"/>
    <w:pPr>
      <w:jc w:val="left"/>
    </w:pPr>
    <w:rPr>
      <w:rFonts w:ascii="Arial Narrow" w:hAnsi="Arial Narrow"/>
      <w:b/>
      <w:sz w:val="24"/>
    </w:rPr>
  </w:style>
  <w:style w:type="paragraph" w:styleId="ListParagraph">
    <w:name w:val="List Paragraph"/>
    <w:aliases w:val="Sustainable list,Rec para,Dot pt,F5 List Paragraph,List Paragraph1,No Spacing1,List Paragraph Char Char Char,Indicator Text,Numbered Para 1,Colorful List - Accent 11,Bullet 1,MAIN CONTENT,List Paragraph12,List Paragraph2,Normal numbered,L"/>
    <w:basedOn w:val="Normal"/>
    <w:link w:val="ListParagraphChar"/>
    <w:uiPriority w:val="34"/>
    <w:qFormat/>
    <w:rsid w:val="001E5202"/>
    <w:pPr>
      <w:spacing w:after="200" w:line="276" w:lineRule="auto"/>
      <w:ind w:left="720"/>
      <w:jc w:val="both"/>
    </w:pPr>
    <w:rPr>
      <w:sz w:val="22"/>
      <w:szCs w:val="22"/>
    </w:rPr>
  </w:style>
  <w:style w:type="character" w:customStyle="1" w:styleId="ListParagraphChar">
    <w:name w:val="List Paragraph Char"/>
    <w:aliases w:val="Sustainable list Char,Rec para Char,Dot pt Char,F5 List Paragraph Char,List Paragraph1 Char,No Spacing1 Char,List Paragraph Char Char Char Char,Indicator Text Char,Numbered Para 1 Char,Colorful List - Accent 11 Char,Bullet 1 Char"/>
    <w:basedOn w:val="DefaultParagraphFont"/>
    <w:link w:val="ListParagraph"/>
    <w:uiPriority w:val="34"/>
    <w:rsid w:val="001E5202"/>
    <w:rPr>
      <w:rFonts w:ascii="Calibri" w:eastAsia="Times New Roman" w:hAnsi="Calibri" w:cs="Times New Roman"/>
    </w:rPr>
  </w:style>
  <w:style w:type="paragraph" w:styleId="TOC2">
    <w:name w:val="toc 2"/>
    <w:basedOn w:val="Normal"/>
    <w:next w:val="Normal"/>
    <w:autoRedefine/>
    <w:uiPriority w:val="39"/>
    <w:unhideWhenUsed/>
    <w:rsid w:val="001E5202"/>
    <w:pPr>
      <w:tabs>
        <w:tab w:val="right" w:pos="9039"/>
      </w:tabs>
      <w:ind w:left="567" w:hanging="567"/>
    </w:pPr>
    <w:rPr>
      <w:rFonts w:ascii="Arial Narrow" w:hAnsi="Arial Narrow"/>
    </w:rPr>
  </w:style>
  <w:style w:type="paragraph" w:styleId="FootnoteText">
    <w:name w:val="footnote text"/>
    <w:basedOn w:val="Normal"/>
    <w:link w:val="FootnoteTextChar"/>
    <w:uiPriority w:val="99"/>
    <w:unhideWhenUsed/>
    <w:rsid w:val="001E5202"/>
    <w:rPr>
      <w:sz w:val="20"/>
    </w:rPr>
  </w:style>
  <w:style w:type="character" w:customStyle="1" w:styleId="FootnoteTextChar">
    <w:name w:val="Footnote Text Char"/>
    <w:basedOn w:val="DefaultParagraphFont"/>
    <w:link w:val="FootnoteText"/>
    <w:uiPriority w:val="99"/>
    <w:rsid w:val="001E5202"/>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E5202"/>
    <w:rPr>
      <w:vertAlign w:val="superscript"/>
    </w:rPr>
  </w:style>
  <w:style w:type="character" w:styleId="Hyperlink">
    <w:name w:val="Hyperlink"/>
    <w:basedOn w:val="DefaultParagraphFont"/>
    <w:uiPriority w:val="99"/>
    <w:unhideWhenUsed/>
    <w:rsid w:val="001E5202"/>
    <w:rPr>
      <w:color w:val="0563C1" w:themeColor="hyperlink"/>
      <w:u w:val="single"/>
    </w:rPr>
  </w:style>
  <w:style w:type="paragraph" w:customStyle="1" w:styleId="Disclaimer">
    <w:name w:val="Disclaimer"/>
    <w:basedOn w:val="Normal"/>
    <w:rsid w:val="001E5202"/>
    <w:pPr>
      <w:ind w:right="1395"/>
      <w:contextualSpacing w:val="0"/>
    </w:pPr>
    <w:rPr>
      <w:rFonts w:ascii="Arial Narrow" w:hAnsi="Arial Narrow"/>
      <w:b/>
      <w:sz w:val="36"/>
    </w:rPr>
  </w:style>
  <w:style w:type="character" w:customStyle="1" w:styleId="Heading2Char">
    <w:name w:val="Heading 2 Char"/>
    <w:basedOn w:val="DefaultParagraphFont"/>
    <w:link w:val="Heading2"/>
    <w:rsid w:val="007A6AD7"/>
    <w:rPr>
      <w:rFonts w:ascii="Arial Narrow" w:eastAsiaTheme="majorEastAsia" w:hAnsi="Arial Narrow" w:cs="Arial"/>
      <w:b/>
      <w:caps/>
      <w:sz w:val="28"/>
      <w:szCs w:val="26"/>
    </w:rPr>
  </w:style>
  <w:style w:type="character" w:customStyle="1" w:styleId="Heading3Char">
    <w:name w:val="Heading 3 Char"/>
    <w:basedOn w:val="DefaultParagraphFont"/>
    <w:link w:val="Heading3"/>
    <w:rsid w:val="007A6AD7"/>
    <w:rPr>
      <w:rFonts w:ascii="Arial Narrow" w:eastAsiaTheme="majorEastAsia" w:hAnsi="Arial Narrow" w:cstheme="majorBidi"/>
      <w:b/>
      <w:sz w:val="24"/>
      <w:szCs w:val="24"/>
    </w:rPr>
  </w:style>
  <w:style w:type="character" w:customStyle="1" w:styleId="Heading4Char">
    <w:name w:val="Heading 4 Char"/>
    <w:basedOn w:val="DefaultParagraphFont"/>
    <w:link w:val="Heading4"/>
    <w:rsid w:val="00786D81"/>
    <w:rPr>
      <w:rFonts w:ascii="Arial Narrow" w:eastAsia="Times New Roman" w:hAnsi="Arial Narrow" w:cs="Times New Roman"/>
      <w:i/>
      <w:sz w:val="24"/>
      <w:szCs w:val="20"/>
    </w:rPr>
  </w:style>
  <w:style w:type="character" w:customStyle="1" w:styleId="Heading5Char">
    <w:name w:val="Heading 5 Char"/>
    <w:basedOn w:val="DefaultParagraphFont"/>
    <w:link w:val="Heading5"/>
    <w:rsid w:val="00786D8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786D81"/>
    <w:rPr>
      <w:rFonts w:ascii="Calibri" w:eastAsia="Times New Roman" w:hAnsi="Calibri" w:cs="Times New Roman"/>
      <w:b/>
      <w:bCs/>
    </w:rPr>
  </w:style>
  <w:style w:type="character" w:customStyle="1" w:styleId="Heading7Char">
    <w:name w:val="Heading 7 Char"/>
    <w:basedOn w:val="DefaultParagraphFont"/>
    <w:link w:val="Heading7"/>
    <w:rsid w:val="00786D81"/>
    <w:rPr>
      <w:rFonts w:ascii="Calibri" w:eastAsia="Times New Roman" w:hAnsi="Calibri" w:cs="Times New Roman"/>
      <w:sz w:val="24"/>
      <w:szCs w:val="24"/>
    </w:rPr>
  </w:style>
  <w:style w:type="character" w:customStyle="1" w:styleId="Heading8Char">
    <w:name w:val="Heading 8 Char"/>
    <w:basedOn w:val="DefaultParagraphFont"/>
    <w:link w:val="Heading8"/>
    <w:rsid w:val="00786D81"/>
    <w:rPr>
      <w:rFonts w:ascii="Calibri" w:eastAsia="Times New Roman" w:hAnsi="Calibri" w:cs="Times New Roman"/>
      <w:i/>
      <w:iCs/>
      <w:sz w:val="24"/>
      <w:szCs w:val="24"/>
    </w:rPr>
  </w:style>
  <w:style w:type="character" w:customStyle="1" w:styleId="Heading9Char">
    <w:name w:val="Heading 9 Char"/>
    <w:basedOn w:val="DefaultParagraphFont"/>
    <w:link w:val="Heading9"/>
    <w:rsid w:val="00786D81"/>
    <w:rPr>
      <w:rFonts w:ascii="Cambria" w:eastAsia="Times New Roman" w:hAnsi="Cambria" w:cs="Times New Roman"/>
    </w:rPr>
  </w:style>
  <w:style w:type="paragraph" w:customStyle="1" w:styleId="TableMainTitle">
    <w:name w:val="Table Main Title"/>
    <w:basedOn w:val="Normal"/>
    <w:rsid w:val="00786D81"/>
    <w:pPr>
      <w:contextualSpacing w:val="0"/>
    </w:pPr>
    <w:rPr>
      <w:rFonts w:ascii="Arial Narrow" w:hAnsi="Arial Narrow"/>
      <w:b/>
    </w:rPr>
  </w:style>
  <w:style w:type="paragraph" w:customStyle="1" w:styleId="TablesText">
    <w:name w:val="Tables Text"/>
    <w:basedOn w:val="Normal"/>
    <w:rsid w:val="00786D81"/>
    <w:pPr>
      <w:contextualSpacing w:val="0"/>
    </w:pPr>
    <w:rPr>
      <w:rFonts w:ascii="Arial Narrow" w:hAnsi="Arial Narrow"/>
      <w:sz w:val="20"/>
    </w:rPr>
  </w:style>
  <w:style w:type="paragraph" w:customStyle="1" w:styleId="TableColumnHeadingscentred">
    <w:name w:val="Table Column Headings centred"/>
    <w:basedOn w:val="Normal"/>
    <w:rsid w:val="00786D81"/>
    <w:pPr>
      <w:tabs>
        <w:tab w:val="left" w:pos="1005"/>
      </w:tabs>
      <w:spacing w:before="60" w:after="60"/>
      <w:contextualSpacing w:val="0"/>
      <w:jc w:val="center"/>
    </w:pPr>
    <w:rPr>
      <w:rFonts w:ascii="Arial Narrow" w:hAnsi="Arial Narrow"/>
      <w:b/>
      <w:sz w:val="20"/>
    </w:rPr>
  </w:style>
  <w:style w:type="paragraph" w:customStyle="1" w:styleId="Style1">
    <w:name w:val="Style1"/>
    <w:basedOn w:val="Normal"/>
    <w:link w:val="Style1Char"/>
    <w:qFormat/>
    <w:rsid w:val="00786D81"/>
    <w:pPr>
      <w:numPr>
        <w:numId w:val="13"/>
      </w:numPr>
      <w:spacing w:line="340" w:lineRule="exact"/>
    </w:pPr>
    <w:rPr>
      <w:rFonts w:ascii="Times New Roman Mäori" w:hAnsi="Times New Roman Mäori"/>
      <w:szCs w:val="24"/>
    </w:rPr>
  </w:style>
  <w:style w:type="character" w:customStyle="1" w:styleId="Style1Char">
    <w:name w:val="Style1 Char"/>
    <w:link w:val="Style1"/>
    <w:rsid w:val="00786D81"/>
    <w:rPr>
      <w:rFonts w:ascii="Times New Roman Mäori" w:eastAsia="Times New Roman" w:hAnsi="Times New Roman Mäori" w:cs="Times New Roman"/>
      <w:sz w:val="24"/>
      <w:szCs w:val="24"/>
    </w:rPr>
  </w:style>
  <w:style w:type="paragraph" w:styleId="NoSpacing">
    <w:name w:val="No Spacing"/>
    <w:link w:val="NoSpacingChar"/>
    <w:uiPriority w:val="1"/>
    <w:qFormat/>
    <w:rsid w:val="00E4177F"/>
    <w:pPr>
      <w:spacing w:after="0" w:line="240" w:lineRule="auto"/>
    </w:pPr>
  </w:style>
  <w:style w:type="character" w:customStyle="1" w:styleId="NoSpacingChar">
    <w:name w:val="No Spacing Char"/>
    <w:basedOn w:val="DefaultParagraphFont"/>
    <w:link w:val="NoSpacing"/>
    <w:uiPriority w:val="1"/>
    <w:rsid w:val="00E4177F"/>
  </w:style>
  <w:style w:type="character" w:styleId="HTMLDefinition">
    <w:name w:val="HTML Definition"/>
    <w:basedOn w:val="DefaultParagraphFont"/>
    <w:uiPriority w:val="99"/>
    <w:unhideWhenUsed/>
    <w:rsid w:val="00E4177F"/>
    <w:rPr>
      <w:i/>
      <w:iCs/>
    </w:rPr>
  </w:style>
  <w:style w:type="paragraph" w:customStyle="1" w:styleId="StyleNRLMG05Hanging051Before12ptAfter12pt">
    <w:name w:val="Style NRLMG_05 + Hanging:  0.51&quot; Before:  12 pt After:  12 pt"/>
    <w:basedOn w:val="Normal"/>
    <w:rsid w:val="002B7E06"/>
    <w:pPr>
      <w:tabs>
        <w:tab w:val="num" w:pos="4406"/>
      </w:tabs>
      <w:suppressAutoHyphens/>
      <w:spacing w:before="240" w:after="240"/>
      <w:ind w:left="4406" w:hanging="720"/>
      <w:jc w:val="both"/>
    </w:pPr>
    <w:rPr>
      <w:sz w:val="22"/>
      <w:lang w:val="en-AU" w:eastAsia="ar-SA"/>
    </w:rPr>
  </w:style>
  <w:style w:type="paragraph" w:styleId="BalloonText">
    <w:name w:val="Balloon Text"/>
    <w:basedOn w:val="Normal"/>
    <w:link w:val="BalloonTextChar"/>
    <w:uiPriority w:val="99"/>
    <w:semiHidden/>
    <w:unhideWhenUsed/>
    <w:rsid w:val="00F03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F7D"/>
    <w:rPr>
      <w:rFonts w:ascii="Segoe UI" w:eastAsia="Times New Roman" w:hAnsi="Segoe UI" w:cs="Segoe UI"/>
      <w:sz w:val="18"/>
      <w:szCs w:val="18"/>
    </w:rPr>
  </w:style>
  <w:style w:type="character" w:styleId="CommentReference">
    <w:name w:val="annotation reference"/>
    <w:basedOn w:val="DefaultParagraphFont"/>
    <w:uiPriority w:val="99"/>
    <w:unhideWhenUsed/>
    <w:rsid w:val="00F03F7D"/>
    <w:rPr>
      <w:sz w:val="16"/>
      <w:szCs w:val="16"/>
    </w:rPr>
  </w:style>
  <w:style w:type="paragraph" w:styleId="CommentText">
    <w:name w:val="annotation text"/>
    <w:basedOn w:val="Normal"/>
    <w:link w:val="CommentTextChar"/>
    <w:uiPriority w:val="99"/>
    <w:unhideWhenUsed/>
    <w:rsid w:val="00F03F7D"/>
    <w:rPr>
      <w:sz w:val="20"/>
    </w:rPr>
  </w:style>
  <w:style w:type="character" w:customStyle="1" w:styleId="CommentTextChar">
    <w:name w:val="Comment Text Char"/>
    <w:basedOn w:val="DefaultParagraphFont"/>
    <w:link w:val="CommentText"/>
    <w:uiPriority w:val="99"/>
    <w:rsid w:val="00F03F7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03F7D"/>
    <w:rPr>
      <w:b/>
      <w:bCs/>
    </w:rPr>
  </w:style>
  <w:style w:type="character" w:customStyle="1" w:styleId="CommentSubjectChar">
    <w:name w:val="Comment Subject Char"/>
    <w:basedOn w:val="CommentTextChar"/>
    <w:link w:val="CommentSubject"/>
    <w:uiPriority w:val="99"/>
    <w:semiHidden/>
    <w:rsid w:val="00F03F7D"/>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571740">
      <w:bodyDiv w:val="1"/>
      <w:marLeft w:val="0"/>
      <w:marRight w:val="0"/>
      <w:marTop w:val="0"/>
      <w:marBottom w:val="0"/>
      <w:divBdr>
        <w:top w:val="none" w:sz="0" w:space="0" w:color="auto"/>
        <w:left w:val="none" w:sz="0" w:space="0" w:color="auto"/>
        <w:bottom w:val="none" w:sz="0" w:space="0" w:color="auto"/>
        <w:right w:val="none" w:sz="0" w:space="0" w:color="auto"/>
      </w:divBdr>
    </w:div>
    <w:div w:id="1423381395">
      <w:bodyDiv w:val="1"/>
      <w:marLeft w:val="0"/>
      <w:marRight w:val="0"/>
      <w:marTop w:val="0"/>
      <w:marBottom w:val="0"/>
      <w:divBdr>
        <w:top w:val="none" w:sz="0" w:space="0" w:color="auto"/>
        <w:left w:val="none" w:sz="0" w:space="0" w:color="auto"/>
        <w:bottom w:val="none" w:sz="0" w:space="0" w:color="auto"/>
        <w:right w:val="none" w:sz="0" w:space="0" w:color="auto"/>
      </w:divBdr>
    </w:div>
    <w:div w:id="1558276771">
      <w:bodyDiv w:val="1"/>
      <w:marLeft w:val="0"/>
      <w:marRight w:val="0"/>
      <w:marTop w:val="0"/>
      <w:marBottom w:val="0"/>
      <w:divBdr>
        <w:top w:val="none" w:sz="0" w:space="0" w:color="auto"/>
        <w:left w:val="none" w:sz="0" w:space="0" w:color="auto"/>
        <w:bottom w:val="none" w:sz="0" w:space="0" w:color="auto"/>
        <w:right w:val="none" w:sz="0" w:space="0" w:color="auto"/>
      </w:divBdr>
    </w:div>
    <w:div w:id="165159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http://fs.fish.govt.nz/Page.aspx?pk=104"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hyperlink" Target="https://www.mpi.govt.nz/dmsdocument/11611-review-of-rock-lobster-sustainability-measures-for-1-april-2016"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hyperlink" Target="http://fs.fish.govt.nz/Doc/24542/14-CRA_2017_FINAL.pdf.ashx"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hyperlink" Target="https://www.mpi.govt.nz/dmsdocument/16879-review-of-rock-lobster-sustainability-measures-for-1-april-2017-final-advice-pap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11.png"/><Relationship Id="rId37" Type="http://schemas.openxmlformats.org/officeDocument/2006/relationships/hyperlink" Target="http://www.legislation.govt.nz/act/public/1996/0088/latest/DLM394192.html" TargetMode="External"/><Relationship Id="rId40" Type="http://schemas.openxmlformats.org/officeDocument/2006/relationships/hyperlink" Target="https://www.mpi.govt.nz/dmsdocument/27966-review-of-rock-lobster-sustainability-measures-1-april-2018" TargetMode="Externa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yperlink" Target="http://www.mpi.govt.nz/news-and-resources/publications/" TargetMode="Externa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hyperlink" Target="https://www.mpi.govt.nz/dmsdocument/3993-review-of-rock-lobster-sustainability-measures-final-advice-pap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and@mpi.govt.nz" TargetMode="External"/><Relationship Id="rId22" Type="http://schemas.openxmlformats.org/officeDocument/2006/relationships/hyperlink" Target="mailto:FMsubmissions@mpi.govt.nz"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mpi.govt.nz/document-vault/641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mpi.govt.nz/document-vault/366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0651C5176DF77499FC56E8051007AF6" ma:contentTypeVersion="23" ma:contentTypeDescription="Create a new Word Document" ma:contentTypeScope="" ma:versionID="861bde966dbf637e3c65bcb7d0b8af8c">
  <xsd:schema xmlns:xsd="http://www.w3.org/2001/XMLSchema" xmlns:xs="http://www.w3.org/2001/XMLSchema" xmlns:p="http://schemas.microsoft.com/office/2006/metadata/properties" xmlns:ns3="53305d22-c52c-4ebf-80a3-731614f57ab7" xmlns:ns4="01be4277-2979-4a68-876d-b92b25fceece" xmlns:ns5="http://schemas.microsoft.com/sharepoint/v4" targetNamespace="http://schemas.microsoft.com/office/2006/metadata/properties" ma:root="true" ma:fieldsID="eae0c50a2745a2e105af15859a6b5465" ns3:_="" ns4:_="" ns5:_="">
    <xsd:import namespace="53305d22-c52c-4ebf-80a3-731614f57ab7"/>
    <xsd:import namespace="01be4277-2979-4a68-876d-b92b25fceece"/>
    <xsd:import namespace="http://schemas.microsoft.com/sharepoint/v4"/>
    <xsd:element name="properties">
      <xsd:complexType>
        <xsd:sequence>
          <xsd:element name="documentManagement">
            <xsd:complexType>
              <xsd:all>
                <xsd:element ref="ns3:MPIRegulatoryRoundType" minOccurs="0"/>
                <xsd:element ref="ns3:PingarLastProcessed" minOccurs="0"/>
                <xsd:element ref="ns3:TaxKeywordTaxHTField" minOccurs="0"/>
                <xsd:element ref="ns3:TaxCatchAll" minOccurs="0"/>
                <xsd:element ref="ns3:TaxCatchAllLabel" minOccurs="0"/>
                <xsd:element ref="ns3:od12f45513fd4debb073a8a26f4c6b4f" minOccurs="0"/>
                <xsd:element ref="ns3:g1fe1e02ea0941d1b1173a4aff436797" minOccurs="0"/>
                <xsd:element ref="ns4:C3TopicNote" minOccurs="0"/>
                <xsd:element ref="ns5: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05d22-c52c-4ebf-80a3-731614f57ab7" elementFormDefault="qualified">
    <xsd:import namespace="http://schemas.microsoft.com/office/2006/documentManagement/types"/>
    <xsd:import namespace="http://schemas.microsoft.com/office/infopath/2007/PartnerControls"/>
    <xsd:element name="MPIRegulatoryRoundType" ma:index="4" nillable="true" ma:displayName="Regulatory Round Type" ma:format="Dropdown" ma:internalName="MPIRegulatoryRoundType">
      <xsd:simpleType>
        <xsd:restriction base="dms:Choice">
          <xsd:enumeration value="Regulatory"/>
          <xsd:enumeration value="Round"/>
          <xsd:enumeration value="Sustainability"/>
        </xsd:restriction>
      </xsd:simpleType>
    </xsd:element>
    <xsd:element name="PingarLastProcessed" ma:index="6" nillable="true" ma:displayName="PingarLastProcessed" ma:format="DateTime" ma:internalName="PingarLastProcessed">
      <xsd:simpleType>
        <xsd:restriction base="dms:DateTime"/>
      </xsd:simpleType>
    </xsd:element>
    <xsd:element name="TaxKeywordTaxHTField" ma:index="9"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3f17bfd4-a201-437d-98ff-43d884cbcde5}" ma:internalName="TaxCatchAll" ma:showField="CatchAllData" ma:web="53305d22-c52c-4ebf-80a3-731614f57ab7">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3f17bfd4-a201-437d-98ff-43d884cbcde5}" ma:internalName="TaxCatchAllLabel" ma:readOnly="true" ma:showField="CatchAllDataLabel" ma:web="53305d22-c52c-4ebf-80a3-731614f57ab7">
      <xsd:complexType>
        <xsd:complexContent>
          <xsd:extension base="dms:MultiChoiceLookup">
            <xsd:sequence>
              <xsd:element name="Value" type="dms:Lookup" maxOccurs="unbounded" minOccurs="0" nillable="true"/>
            </xsd:sequence>
          </xsd:extension>
        </xsd:complexContent>
      </xsd:complexType>
    </xsd:element>
    <xsd:element name="od12f45513fd4debb073a8a26f4c6b4f" ma:index="14" nillable="true" ma:taxonomy="true" ma:internalName="od12f45513fd4debb073a8a26f4c6b4f" ma:taxonomyFieldName="PingarMPI_Terms" ma:displayName="Derived Terms" ma:fieldId="{8d12f455-13fd-4deb-b073-a8a26f4c6b4f}"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g1fe1e02ea0941d1b1173a4aff436797" ma:index="17" nillable="true" ma:taxonomy="true" ma:internalName="g1fe1e02ea0941d1b1173a4aff436797" ma:taxonomyFieldName="MPISecurityClassification" ma:displayName="Security Classification" ma:default="1;#None|cf402fa0-b6a8-49a7-a22e-a95b6152c608" ma:fieldId="{01fe1e02-ea09-41d1-b117-3a4aff436797}"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19" nillable="true" ma:taxonomy="true" ma:internalName="C3TopicNote" ma:taxonomyFieldName="C3Topic" ma:displayName="Topic" ma:readOnly="false" ma:fieldId="{6a3fe89f-a6dd-4490-a9c1-3ef38d67b8c7}" ma:sspId="3bfd400a-bb0f-42a8-a885-98b592a0f767" ma:termSetId="9cb9d936-a224-406d-a76a-f42f2d4a040c" ma:anchorId="c23105e8-cc7b-4e51-a705-3a8406f5b8f4"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KeywordTaxHTField xmlns="53305d22-c52c-4ebf-80a3-731614f57ab7">
      <Terms xmlns="http://schemas.microsoft.com/office/infopath/2007/PartnerControls"/>
    </TaxKeywordTaxHTField>
    <MPIRegulatoryRoundType xmlns="53305d22-c52c-4ebf-80a3-731614f57ab7" xsi:nil="true"/>
    <od12f45513fd4debb073a8a26f4c6b4f xmlns="53305d22-c52c-4ebf-80a3-731614f57ab7">
      <Terms xmlns="http://schemas.microsoft.com/office/infopath/2007/PartnerControls"/>
    </od12f45513fd4debb073a8a26f4c6b4f>
    <PingarLastProcessed xmlns="53305d22-c52c-4ebf-80a3-731614f57ab7" xsi:nil="true"/>
    <IconOverlay xmlns="http://schemas.microsoft.com/sharepoint/v4" xsi:nil="true"/>
    <g1fe1e02ea0941d1b1173a4aff436797 xmlns="53305d22-c52c-4ebf-80a3-731614f57ab7">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g1fe1e02ea0941d1b1173a4aff436797>
    <TaxCatchAll xmlns="53305d22-c52c-4ebf-80a3-731614f57ab7">
      <Value>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B181-ED1E-4FD1-9C4A-F660AA979A71}"/>
</file>

<file path=customXml/itemProps2.xml><?xml version="1.0" encoding="utf-8"?>
<ds:datastoreItem xmlns:ds="http://schemas.openxmlformats.org/officeDocument/2006/customXml" ds:itemID="{B626BE5D-FAF2-4CF1-A870-51C048231325}"/>
</file>

<file path=customXml/itemProps3.xml><?xml version="1.0" encoding="utf-8"?>
<ds:datastoreItem xmlns:ds="http://schemas.openxmlformats.org/officeDocument/2006/customXml" ds:itemID="{30CF7306-EB09-40C2-BAB5-7A3CB2DF64A1}"/>
</file>

<file path=customXml/itemProps4.xml><?xml version="1.0" encoding="utf-8"?>
<ds:datastoreItem xmlns:ds="http://schemas.openxmlformats.org/officeDocument/2006/customXml" ds:itemID="{AA2A4CF4-7DFD-4DE7-94B5-EE008133D199}"/>
</file>

<file path=docProps/app.xml><?xml version="1.0" encoding="utf-8"?>
<Properties xmlns="http://schemas.openxmlformats.org/officeDocument/2006/extended-properties" xmlns:vt="http://schemas.openxmlformats.org/officeDocument/2006/docPropsVTypes">
  <Template>Normal</Template>
  <TotalTime>2902</TotalTime>
  <Pages>41</Pages>
  <Words>11113</Words>
  <Characters>63349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74314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Hempel</dc:creator>
  <cp:keywords/>
  <dc:description/>
  <cp:lastModifiedBy>Sonja Hempel</cp:lastModifiedBy>
  <cp:revision>214</cp:revision>
  <dcterms:created xsi:type="dcterms:W3CDTF">2018-11-13T21:55:00Z</dcterms:created>
  <dcterms:modified xsi:type="dcterms:W3CDTF">2018-12-13T20:37:00Z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0x0101005496552013C0BA46BE88192D5C6EB20B00BC7B51C3C3DA487E91D1E0ED95F8C85C0050651C5176DF77499FC56E8051007AF6</vt:lpwstr>
  </property>
  <property fmtid="{D5CDD505-2E9C-101B-9397-08002B2CF9AE}" pid="3" name="TaxKeyword">
    <vt:lpwstr/>
  </property>
  <property fmtid="{D5CDD505-2E9C-101B-9397-08002B2CF9AE}" pid="4" name="MPISecurityClassification">
    <vt:lpwstr>1;#None|cf402fa0-b6a8-49a7-a22e-a95b6152c608</vt:lpwstr>
  </property>
  <property fmtid="{D5CDD505-2E9C-101B-9397-08002B2CF9AE}" pid="5" name="PingarMPI_Terms">
    <vt:lpwstr/>
  </property>
  <property fmtid="{D5CDD505-2E9C-101B-9397-08002B2CF9AE}" pid="6" name="C3Topic">
    <vt:lpwstr/>
  </property>
  <property fmtid="{D5CDD505-2E9C-101B-9397-08002B2CF9AE}" pid="7" name="RecordPoint_WorkflowType">
    <vt:lpwstr>ActiveSubmitStub</vt:lpwstr>
  </property>
  <property fmtid="{D5CDD505-2E9C-101B-9397-08002B2CF9AE}" pid="8" name="RecordPoint_ActiveItemUniqueId">
    <vt:lpwstr>{87f5c569-6281-4d80-a6e3-dd4e5e99b94d}</vt:lpwstr>
  </property>
  <property fmtid="{D5CDD505-2E9C-101B-9397-08002B2CF9AE}" pid="9" name="RecordPoint_ActiveItemWebId">
    <vt:lpwstr>{53305d22-c52c-4ebf-80a3-731614f57ab7}</vt:lpwstr>
  </property>
  <property fmtid="{D5CDD505-2E9C-101B-9397-08002B2CF9AE}" pid="10" name="RecordPoint_ActiveItemSiteId">
    <vt:lpwstr>{b4cd7339-d8f1-4431-bc26-7b152e0dc15f}</vt:lpwstr>
  </property>
  <property fmtid="{D5CDD505-2E9C-101B-9397-08002B2CF9AE}" pid="11" name="RecordPoint_ActiveItemListId">
    <vt:lpwstr>{3ddd2c65-bc69-4a47-81cd-18678021da5a}</vt:lpwstr>
  </property>
  <property fmtid="{D5CDD505-2E9C-101B-9397-08002B2CF9AE}" pid="12" name="RecordPoint_RecordNumberSubmitted">
    <vt:lpwstr>R0004415816</vt:lpwstr>
  </property>
  <property fmtid="{D5CDD505-2E9C-101B-9397-08002B2CF9AE}" pid="13" name="RecordPoint_SubmissionCompleted">
    <vt:lpwstr>2018-12-14T18:34:53.3153579+13:00</vt:lpwstr>
  </property>
</Properties>
</file>