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49" w:rsidRDefault="00FA0F49" w:rsidP="0086556F">
      <w:pPr>
        <w:pStyle w:val="Heading2"/>
        <w:rPr>
          <w:rFonts w:ascii="Arial Narrow" w:hAnsi="Arial Narrow" w:cs="Arial"/>
        </w:rPr>
      </w:pPr>
      <w:bookmarkStart w:id="0" w:name="P19_296"/>
      <w:bookmarkEnd w:id="0"/>
    </w:p>
    <w:p w:rsidR="00DB6275" w:rsidRDefault="00DB6275" w:rsidP="0086556F">
      <w:pPr>
        <w:pStyle w:val="Heading2"/>
        <w:rPr>
          <w:rFonts w:ascii="Arial Narrow" w:hAnsi="Arial Narrow" w:cs="Arial"/>
        </w:rPr>
      </w:pPr>
    </w:p>
    <w:p w:rsidR="00DB6275" w:rsidRPr="00DB6275" w:rsidRDefault="00DB6275" w:rsidP="00DB6275">
      <w:pPr>
        <w:pStyle w:val="Heading1"/>
        <w:rPr>
          <w:color w:val="004963"/>
          <w:sz w:val="40"/>
          <w:szCs w:val="40"/>
        </w:rPr>
      </w:pPr>
      <w:bookmarkStart w:id="1" w:name="P-1_0"/>
      <w:bookmarkEnd w:id="1"/>
      <w:r>
        <w:rPr>
          <w:sz w:val="40"/>
          <w:szCs w:val="40"/>
        </w:rPr>
        <w:t>Civil emergency a</w:t>
      </w:r>
      <w:r w:rsidRPr="00DB6275">
        <w:rPr>
          <w:sz w:val="40"/>
          <w:szCs w:val="40"/>
        </w:rPr>
        <w:t>dvice for manufacturers operating under Risk Management Programmes (RMP) and Food Safety Programmes (FSP)</w:t>
      </w:r>
    </w:p>
    <w:p w:rsidR="00DB6275" w:rsidRPr="00DB6275" w:rsidRDefault="00DB6275" w:rsidP="00DB6275">
      <w:pPr>
        <w:pStyle w:val="NormalWeb"/>
        <w:rPr>
          <w:rFonts w:ascii="Arial Narrow" w:hAnsi="Arial Narrow" w:cs="Arial"/>
        </w:rPr>
      </w:pPr>
      <w:r w:rsidRPr="00DB6275">
        <w:rPr>
          <w:rFonts w:ascii="Arial Narrow" w:hAnsi="Arial Narrow"/>
        </w:rPr>
        <w:t xml:space="preserve">RMP and FSP operators need to consider the impacts of the </w:t>
      </w:r>
      <w:r>
        <w:rPr>
          <w:rFonts w:ascii="Arial Narrow" w:hAnsi="Arial Narrow"/>
        </w:rPr>
        <w:t>civil emergency</w:t>
      </w:r>
      <w:r w:rsidRPr="00DB6275">
        <w:rPr>
          <w:rFonts w:ascii="Arial Narrow" w:hAnsi="Arial Narrow"/>
        </w:rPr>
        <w:t xml:space="preserve"> on their </w:t>
      </w:r>
      <w:r w:rsidR="00C81879">
        <w:rPr>
          <w:rFonts w:ascii="Arial Narrow" w:hAnsi="Arial Narrow"/>
        </w:rPr>
        <w:t xml:space="preserve">business </w:t>
      </w:r>
      <w:r w:rsidRPr="00DB6275">
        <w:rPr>
          <w:rFonts w:ascii="Arial Narrow" w:hAnsi="Arial Narrow"/>
        </w:rPr>
        <w:t>premises and products and ensure that any risks are managed before they start operating again.</w:t>
      </w:r>
    </w:p>
    <w:p w:rsidR="00DB6275" w:rsidRPr="00DB6275" w:rsidRDefault="00DB6275" w:rsidP="00DB6275">
      <w:pPr>
        <w:pStyle w:val="NormalWeb"/>
        <w:rPr>
          <w:rFonts w:ascii="Arial Narrow" w:hAnsi="Arial Narrow"/>
        </w:rPr>
      </w:pPr>
      <w:r w:rsidRPr="00DB6275">
        <w:rPr>
          <w:rFonts w:ascii="Arial Narrow" w:hAnsi="Arial Narrow"/>
        </w:rPr>
        <w:t>Key areas that operators need to consider are:</w:t>
      </w:r>
    </w:p>
    <w:p w:rsidR="00DB6275" w:rsidRPr="00DB6275" w:rsidRDefault="00DB6275" w:rsidP="00DB6275">
      <w:pPr>
        <w:pStyle w:val="NormalWeb"/>
        <w:rPr>
          <w:rFonts w:ascii="Arial Narrow" w:hAnsi="Arial Narrow"/>
        </w:rPr>
      </w:pPr>
      <w:r>
        <w:rPr>
          <w:rFonts w:ascii="Arial Narrow" w:hAnsi="Arial Narrow"/>
          <w:b/>
          <w:bCs/>
        </w:rPr>
        <w:t>1. Are</w:t>
      </w:r>
      <w:r w:rsidRPr="00DB6275">
        <w:rPr>
          <w:rFonts w:ascii="Arial Narrow" w:hAnsi="Arial Narrow"/>
          <w:b/>
          <w:bCs/>
        </w:rPr>
        <w:t xml:space="preserve"> premises structurally sound?</w:t>
      </w:r>
    </w:p>
    <w:p w:rsidR="00DB6275" w:rsidRDefault="00DB6275" w:rsidP="00DB6275">
      <w:pPr>
        <w:pStyle w:val="NormalWeb"/>
        <w:rPr>
          <w:rFonts w:ascii="Arial Narrow" w:hAnsi="Arial Narrow"/>
        </w:rPr>
      </w:pPr>
      <w:r>
        <w:rPr>
          <w:rFonts w:ascii="Arial Narrow" w:hAnsi="Arial Narrow"/>
        </w:rPr>
        <w:t>Operators should check that:</w:t>
      </w:r>
    </w:p>
    <w:p w:rsidR="00DB6275" w:rsidRDefault="00DB6275" w:rsidP="00DB6275">
      <w:pPr>
        <w:pStyle w:val="NormalWeb"/>
        <w:numPr>
          <w:ilvl w:val="0"/>
          <w:numId w:val="1"/>
        </w:numPr>
        <w:rPr>
          <w:rFonts w:ascii="Arial Narrow" w:hAnsi="Arial Narrow"/>
        </w:rPr>
      </w:pPr>
      <w:r w:rsidRPr="00DB6275">
        <w:rPr>
          <w:rFonts w:ascii="Arial Narrow" w:hAnsi="Arial Narrow"/>
        </w:rPr>
        <w:t>premises structure is safe</w:t>
      </w:r>
    </w:p>
    <w:p w:rsidR="00DB6275" w:rsidRDefault="00DB6275" w:rsidP="00DB6275">
      <w:pPr>
        <w:pStyle w:val="NormalWeb"/>
        <w:numPr>
          <w:ilvl w:val="0"/>
          <w:numId w:val="1"/>
        </w:numPr>
        <w:rPr>
          <w:rFonts w:ascii="Arial Narrow" w:hAnsi="Arial Narrow"/>
        </w:rPr>
      </w:pPr>
      <w:r w:rsidRPr="00DB6275">
        <w:rPr>
          <w:rFonts w:ascii="Arial Narrow" w:hAnsi="Arial Narrow"/>
        </w:rPr>
        <w:t>that infrastructure (e.g. water/steam pipes, electrical cables, etc) is not damaged/weakened</w:t>
      </w:r>
    </w:p>
    <w:p w:rsidR="00DB6275" w:rsidRPr="00DB6275" w:rsidRDefault="00DB6275" w:rsidP="00DB6275">
      <w:pPr>
        <w:pStyle w:val="NormalWeb"/>
        <w:numPr>
          <w:ilvl w:val="0"/>
          <w:numId w:val="1"/>
        </w:numPr>
        <w:rPr>
          <w:rFonts w:ascii="Arial Narrow" w:hAnsi="Arial Narrow"/>
        </w:rPr>
      </w:pPr>
      <w:proofErr w:type="gramStart"/>
      <w:r w:rsidRPr="00DB6275">
        <w:rPr>
          <w:rFonts w:ascii="Arial Narrow" w:hAnsi="Arial Narrow"/>
        </w:rPr>
        <w:t>that</w:t>
      </w:r>
      <w:proofErr w:type="gramEnd"/>
      <w:r w:rsidRPr="00DB6275">
        <w:rPr>
          <w:rFonts w:ascii="Arial Narrow" w:hAnsi="Arial Narrow"/>
        </w:rPr>
        <w:t xml:space="preserve"> key pieces of equ</w:t>
      </w:r>
      <w:r>
        <w:rPr>
          <w:rFonts w:ascii="Arial Narrow" w:hAnsi="Arial Narrow"/>
        </w:rPr>
        <w:t>ipment have not been damaged and can be operated as intended</w:t>
      </w:r>
      <w:r w:rsidRPr="00DB6275">
        <w:rPr>
          <w:rFonts w:ascii="Arial Narrow" w:hAnsi="Arial Narrow"/>
        </w:rPr>
        <w:t>.</w:t>
      </w:r>
    </w:p>
    <w:p w:rsidR="00DB6275" w:rsidRPr="00DB6275" w:rsidRDefault="00DB6275" w:rsidP="00DB6275">
      <w:pPr>
        <w:pStyle w:val="NormalWeb"/>
        <w:rPr>
          <w:rFonts w:ascii="Arial Narrow" w:hAnsi="Arial Narrow"/>
        </w:rPr>
      </w:pPr>
      <w:r w:rsidRPr="00DB6275">
        <w:rPr>
          <w:rFonts w:ascii="Arial Narrow" w:hAnsi="Arial Narrow"/>
          <w:b/>
          <w:bCs/>
        </w:rPr>
        <w:t>2. Is there an adequate supply of potable water or alternative risk mitigation steps in place?</w:t>
      </w:r>
    </w:p>
    <w:p w:rsidR="00DB6275" w:rsidRPr="00DB6275" w:rsidRDefault="00DB6275" w:rsidP="00DB6275">
      <w:pPr>
        <w:pStyle w:val="NormalWeb"/>
        <w:rPr>
          <w:rFonts w:ascii="Arial Narrow" w:hAnsi="Arial Narrow"/>
        </w:rPr>
      </w:pPr>
      <w:r w:rsidRPr="00DB6275">
        <w:rPr>
          <w:rFonts w:ascii="Arial Narrow" w:hAnsi="Arial Narrow"/>
        </w:rPr>
        <w:t>Operators must comply with any “boil water” notice that is in place</w:t>
      </w:r>
      <w:r>
        <w:rPr>
          <w:rFonts w:ascii="Arial Narrow" w:hAnsi="Arial Narrow"/>
        </w:rPr>
        <w:t xml:space="preserve"> They</w:t>
      </w:r>
      <w:r w:rsidRPr="00DB6275">
        <w:rPr>
          <w:rFonts w:ascii="Arial Narrow" w:hAnsi="Arial Narrow"/>
        </w:rPr>
        <w:t xml:space="preserve"> must cease processing if </w:t>
      </w:r>
      <w:r>
        <w:rPr>
          <w:rFonts w:ascii="Arial Narrow" w:hAnsi="Arial Narrow"/>
        </w:rPr>
        <w:t>unable to</w:t>
      </w:r>
      <w:r w:rsidRPr="00DB6275">
        <w:rPr>
          <w:rFonts w:ascii="Arial Narrow" w:hAnsi="Arial Narrow"/>
        </w:rPr>
        <w:t xml:space="preserve"> </w:t>
      </w:r>
      <w:r>
        <w:rPr>
          <w:rFonts w:ascii="Arial Narrow" w:hAnsi="Arial Narrow"/>
        </w:rPr>
        <w:t xml:space="preserve">comply with the notice </w:t>
      </w:r>
      <w:r w:rsidRPr="00DB6275">
        <w:rPr>
          <w:rFonts w:ascii="Arial Narrow" w:hAnsi="Arial Narrow"/>
        </w:rPr>
        <w:t xml:space="preserve">unless they have an alternative risk mitigation procedure (e.g. </w:t>
      </w:r>
      <w:r>
        <w:rPr>
          <w:rFonts w:ascii="Arial Narrow" w:hAnsi="Arial Narrow"/>
        </w:rPr>
        <w:t xml:space="preserve">water </w:t>
      </w:r>
      <w:r w:rsidRPr="00DB6275">
        <w:rPr>
          <w:rFonts w:ascii="Arial Narrow" w:hAnsi="Arial Narrow"/>
        </w:rPr>
        <w:t xml:space="preserve">disinfection, </w:t>
      </w:r>
      <w:r>
        <w:rPr>
          <w:rFonts w:ascii="Arial Narrow" w:hAnsi="Arial Narrow"/>
        </w:rPr>
        <w:t xml:space="preserve">water </w:t>
      </w:r>
      <w:r w:rsidRPr="00DB6275">
        <w:rPr>
          <w:rFonts w:ascii="Arial Narrow" w:hAnsi="Arial Narrow"/>
        </w:rPr>
        <w:t>testing) in place.   </w:t>
      </w:r>
    </w:p>
    <w:p w:rsidR="00DB6275" w:rsidRPr="00DB6275" w:rsidRDefault="00DB6275" w:rsidP="00DB6275">
      <w:pPr>
        <w:pStyle w:val="NormalWeb"/>
        <w:rPr>
          <w:rFonts w:ascii="Arial Narrow" w:hAnsi="Arial Narrow"/>
        </w:rPr>
      </w:pPr>
      <w:r w:rsidRPr="00DB6275">
        <w:rPr>
          <w:rFonts w:ascii="Arial Narrow" w:hAnsi="Arial Narrow"/>
        </w:rPr>
        <w:t xml:space="preserve">Once the “boil water notice” is lifted, </w:t>
      </w:r>
      <w:r>
        <w:rPr>
          <w:rFonts w:ascii="Arial Narrow" w:hAnsi="Arial Narrow"/>
        </w:rPr>
        <w:t>businesses</w:t>
      </w:r>
      <w:r w:rsidRPr="00DB6275">
        <w:rPr>
          <w:rFonts w:ascii="Arial Narrow" w:hAnsi="Arial Narrow"/>
        </w:rPr>
        <w:t xml:space="preserve"> must decide if they have sufficient confidence in their system to start processing. Is the infrastructure intact from the last test point to the point of </w:t>
      </w:r>
      <w:proofErr w:type="gramStart"/>
      <w:r w:rsidRPr="00DB6275">
        <w:rPr>
          <w:rFonts w:ascii="Arial Narrow" w:hAnsi="Arial Narrow"/>
        </w:rPr>
        <w:t>use.</w:t>
      </w:r>
      <w:proofErr w:type="gramEnd"/>
      <w:r w:rsidRPr="00DB6275">
        <w:rPr>
          <w:rFonts w:ascii="Arial Narrow" w:hAnsi="Arial Narrow"/>
        </w:rPr>
        <w:t xml:space="preserve"> Premises should consider flushing the reticulation network prior to use and even super chlorination to remove any residual contamination. </w:t>
      </w:r>
    </w:p>
    <w:p w:rsidR="00DB6275" w:rsidRPr="00DB6275" w:rsidRDefault="00DB6275" w:rsidP="00DB6275">
      <w:pPr>
        <w:pStyle w:val="NormalWeb"/>
        <w:rPr>
          <w:rFonts w:ascii="Arial Narrow" w:hAnsi="Arial Narrow"/>
        </w:rPr>
      </w:pPr>
      <w:r w:rsidRPr="00DB6275">
        <w:rPr>
          <w:rFonts w:ascii="Arial Narrow" w:hAnsi="Arial Narrow"/>
        </w:rPr>
        <w:t>Operators need to assess the specific risk to their process and product, considering their location relative to damage caused by the earthquake, and likely risk to the water supply, how much water is utilised in the process, what is the nature of the end product (RTE [high-risk] or raw [low risk]), and what risk mitigating steps for water they may have available to them e.g. alternative treatment systems, verification testing, etc.</w:t>
      </w:r>
    </w:p>
    <w:p w:rsidR="00DB6275" w:rsidRPr="00DB6275" w:rsidRDefault="00DB6275" w:rsidP="00DB6275">
      <w:pPr>
        <w:pStyle w:val="NormalWeb"/>
        <w:rPr>
          <w:rFonts w:ascii="Arial Narrow" w:hAnsi="Arial Narrow"/>
        </w:rPr>
      </w:pPr>
      <w:r w:rsidRPr="00DB6275">
        <w:rPr>
          <w:rFonts w:ascii="Arial Narrow" w:hAnsi="Arial Narrow"/>
          <w:b/>
          <w:bCs/>
        </w:rPr>
        <w:t>3. Is there power and other essential services, such as refrigeration, available?</w:t>
      </w:r>
    </w:p>
    <w:p w:rsidR="00DB6275" w:rsidRPr="00DB6275" w:rsidRDefault="00DB6275" w:rsidP="00DB6275">
      <w:pPr>
        <w:pStyle w:val="NormalWeb"/>
        <w:rPr>
          <w:rFonts w:ascii="Arial Narrow" w:hAnsi="Arial Narrow"/>
        </w:rPr>
      </w:pPr>
      <w:r w:rsidRPr="00DB6275">
        <w:rPr>
          <w:rFonts w:ascii="Arial Narrow" w:hAnsi="Arial Narrow"/>
        </w:rPr>
        <w:t xml:space="preserve">Operators should also consider whether disruptions to the power supply might have resulted in damage to key pieces of electronic control equipment or equipment failure alarms. </w:t>
      </w:r>
    </w:p>
    <w:p w:rsidR="00DB6275" w:rsidRPr="00DB6275" w:rsidRDefault="00DB6275" w:rsidP="00DB6275">
      <w:pPr>
        <w:pStyle w:val="NormalWeb"/>
        <w:rPr>
          <w:rFonts w:ascii="Arial Narrow" w:hAnsi="Arial Narrow"/>
        </w:rPr>
      </w:pPr>
      <w:r w:rsidRPr="00DB6275">
        <w:rPr>
          <w:rFonts w:ascii="Arial Narrow" w:hAnsi="Arial Narrow"/>
          <w:b/>
          <w:bCs/>
        </w:rPr>
        <w:t>4. Are toilets and personnel hygiene facilities available?</w:t>
      </w:r>
    </w:p>
    <w:p w:rsidR="00DB6275" w:rsidRPr="00DB6275" w:rsidRDefault="00DB6275" w:rsidP="00DB6275">
      <w:pPr>
        <w:pStyle w:val="NormalWeb"/>
        <w:rPr>
          <w:rFonts w:ascii="Arial Narrow" w:hAnsi="Arial Narrow"/>
        </w:rPr>
      </w:pPr>
      <w:r w:rsidRPr="00DB6275">
        <w:rPr>
          <w:rFonts w:ascii="Arial Narrow" w:hAnsi="Arial Narrow"/>
        </w:rPr>
        <w:t xml:space="preserve">Functional toilets and personnel hygiene facilities must be available for people working in the premises, including potable water for hand washing. (See Q2 for further information). </w:t>
      </w:r>
    </w:p>
    <w:p w:rsidR="00DB6275" w:rsidRPr="00DB6275" w:rsidRDefault="00DB6275" w:rsidP="00DB6275">
      <w:pPr>
        <w:pStyle w:val="NormalWeb"/>
        <w:rPr>
          <w:rFonts w:ascii="Arial Narrow" w:hAnsi="Arial Narrow"/>
        </w:rPr>
      </w:pPr>
      <w:r w:rsidRPr="00DB6275">
        <w:rPr>
          <w:rFonts w:ascii="Arial Narrow" w:hAnsi="Arial Narrow"/>
          <w:b/>
          <w:bCs/>
        </w:rPr>
        <w:t>5. Has the premises been thoroughly cleaned?</w:t>
      </w:r>
    </w:p>
    <w:p w:rsidR="00DB6275" w:rsidRPr="00DB6275" w:rsidRDefault="00DB6275" w:rsidP="00DB6275">
      <w:pPr>
        <w:pStyle w:val="NormalWeb"/>
        <w:rPr>
          <w:rFonts w:ascii="Arial Narrow" w:hAnsi="Arial Narrow"/>
        </w:rPr>
      </w:pPr>
      <w:r w:rsidRPr="00DB6275">
        <w:rPr>
          <w:rFonts w:ascii="Arial Narrow" w:hAnsi="Arial Narrow"/>
        </w:rPr>
        <w:lastRenderedPageBreak/>
        <w:t xml:space="preserve">Dust or other debris may harbour pathogens. Premises need to be fully cleaned, sanitised, and visually checked prior to recommencing processing operations. Manufacturers of RTE products should verify absence of </w:t>
      </w:r>
      <w:proofErr w:type="spellStart"/>
      <w:r w:rsidRPr="00DB6275">
        <w:rPr>
          <w:rFonts w:ascii="Arial Narrow" w:hAnsi="Arial Narrow"/>
          <w:i/>
          <w:iCs/>
        </w:rPr>
        <w:t>Listeria</w:t>
      </w:r>
      <w:proofErr w:type="spellEnd"/>
      <w:r w:rsidRPr="00DB6275">
        <w:rPr>
          <w:rFonts w:ascii="Arial Narrow" w:hAnsi="Arial Narrow"/>
        </w:rPr>
        <w:t xml:space="preserve"> in their processing environment (hygienic envelope) before releasing product.</w:t>
      </w:r>
    </w:p>
    <w:p w:rsidR="00DB6275" w:rsidRPr="00DB6275" w:rsidRDefault="00DB6275" w:rsidP="00DB6275">
      <w:pPr>
        <w:pStyle w:val="NormalWeb"/>
        <w:rPr>
          <w:rFonts w:ascii="Arial Narrow" w:hAnsi="Arial Narrow"/>
        </w:rPr>
      </w:pPr>
      <w:r w:rsidRPr="00DB6275">
        <w:rPr>
          <w:rFonts w:ascii="Arial Narrow" w:hAnsi="Arial Narrow"/>
          <w:b/>
          <w:bCs/>
        </w:rPr>
        <w:t>6. Are raw materials still safe and suitable for use?</w:t>
      </w:r>
    </w:p>
    <w:p w:rsidR="00DB6275" w:rsidRPr="00DB6275" w:rsidRDefault="00DB6275" w:rsidP="00DB6275">
      <w:pPr>
        <w:pStyle w:val="NormalWeb"/>
        <w:rPr>
          <w:rFonts w:ascii="Arial Narrow" w:hAnsi="Arial Narrow"/>
        </w:rPr>
      </w:pPr>
      <w:r w:rsidRPr="00DB6275">
        <w:rPr>
          <w:rFonts w:ascii="Arial Narrow" w:hAnsi="Arial Narrow"/>
        </w:rPr>
        <w:t>Perishable products may no longer be safe or may be showing signs of spoilage after refrigeration failures following the earthquake. Operators should be aware that signs of temperature abuse (e.g. product misshapen or drip in packages or stained on cartons) may not be obvious if the refrigeration system again became operational some time before the food was able to be inspected.</w:t>
      </w:r>
    </w:p>
    <w:p w:rsidR="00DB6275" w:rsidRPr="00DB6275" w:rsidRDefault="00DB6275" w:rsidP="00DB6275">
      <w:pPr>
        <w:pStyle w:val="NormalWeb"/>
        <w:rPr>
          <w:rFonts w:ascii="Arial Narrow" w:hAnsi="Arial Narrow"/>
        </w:rPr>
      </w:pPr>
      <w:r w:rsidRPr="00DB6275">
        <w:rPr>
          <w:rFonts w:ascii="Arial Narrow" w:hAnsi="Arial Narrow"/>
        </w:rPr>
        <w:t>Operators should utilise process failure procedures if attempting to salvage raw materials that may have been subject to temperature abuse.</w:t>
      </w:r>
    </w:p>
    <w:p w:rsidR="00DB6275" w:rsidRPr="00DB6275" w:rsidRDefault="00DB6275" w:rsidP="00DB6275">
      <w:pPr>
        <w:pStyle w:val="NormalWeb"/>
        <w:rPr>
          <w:rFonts w:ascii="Arial Narrow" w:hAnsi="Arial Narrow"/>
        </w:rPr>
      </w:pPr>
      <w:r w:rsidRPr="00DB6275">
        <w:rPr>
          <w:rFonts w:ascii="Arial Narrow" w:hAnsi="Arial Narrow"/>
        </w:rPr>
        <w:t>Operators should also visually inspect raw materials for dust or other debris.</w:t>
      </w:r>
    </w:p>
    <w:p w:rsidR="00DB6275" w:rsidRPr="00DB6275" w:rsidRDefault="00DB6275" w:rsidP="00DB6275">
      <w:pPr>
        <w:pStyle w:val="NormalWeb"/>
        <w:rPr>
          <w:rFonts w:ascii="Arial Narrow" w:hAnsi="Arial Narrow"/>
        </w:rPr>
      </w:pPr>
      <w:r w:rsidRPr="00DB6275">
        <w:rPr>
          <w:rFonts w:ascii="Arial Narrow" w:hAnsi="Arial Narrow"/>
          <w:b/>
          <w:bCs/>
        </w:rPr>
        <w:t>7. Are finished or partially processed products still safe and suitable for use?</w:t>
      </w:r>
    </w:p>
    <w:p w:rsidR="00DB6275" w:rsidRPr="00DB6275" w:rsidRDefault="00DB6275" w:rsidP="00DB6275">
      <w:pPr>
        <w:pStyle w:val="NormalWeb"/>
        <w:rPr>
          <w:rFonts w:ascii="Arial Narrow" w:hAnsi="Arial Narrow"/>
        </w:rPr>
      </w:pPr>
      <w:r w:rsidRPr="00DB6275">
        <w:rPr>
          <w:rFonts w:ascii="Arial Narrow" w:hAnsi="Arial Narrow"/>
        </w:rPr>
        <w:t xml:space="preserve">Operators need to consider the impact of the likes of power outages on any finished or partially processed products on site at the time of the earthquake. </w:t>
      </w:r>
    </w:p>
    <w:p w:rsidR="00DB6275" w:rsidRPr="00DB6275" w:rsidRDefault="00DB6275" w:rsidP="00DB6275">
      <w:pPr>
        <w:pStyle w:val="NormalWeb"/>
        <w:rPr>
          <w:rFonts w:ascii="Arial Narrow" w:hAnsi="Arial Narrow"/>
        </w:rPr>
      </w:pPr>
      <w:r w:rsidRPr="00DB6275">
        <w:rPr>
          <w:rFonts w:ascii="Arial Narrow" w:hAnsi="Arial Narrow"/>
        </w:rPr>
        <w:t xml:space="preserve">In relation to refrigeration failures, it is recommended that the operator create a table outlining the scenario details relating to each refrigerated room in the plant.  This is useful for working out relative risk for different types of products. </w:t>
      </w:r>
    </w:p>
    <w:p w:rsidR="00DB6275" w:rsidRPr="00DB6275" w:rsidRDefault="00DB6275" w:rsidP="00DB6275">
      <w:pPr>
        <w:pStyle w:val="NormalWeb"/>
        <w:rPr>
          <w:rFonts w:ascii="Arial Narrow" w:hAnsi="Arial Narrow"/>
        </w:rPr>
      </w:pPr>
      <w:r w:rsidRPr="00DB6275">
        <w:rPr>
          <w:rFonts w:ascii="Arial Narrow" w:hAnsi="Arial Narrow"/>
        </w:rPr>
        <w:t xml:space="preserve">There may be other types of failures, such as interruption to cooking or drying processes. These will need to be assessed on a case by case basis. Process failure principles need to be applied. </w:t>
      </w:r>
    </w:p>
    <w:p w:rsidR="00DB6275" w:rsidRPr="00DB6275" w:rsidRDefault="00DB6275" w:rsidP="00DB6275">
      <w:pPr>
        <w:pStyle w:val="NormalWeb"/>
        <w:rPr>
          <w:rFonts w:ascii="Arial Narrow" w:hAnsi="Arial Narrow"/>
        </w:rPr>
      </w:pPr>
      <w:r w:rsidRPr="00DB6275">
        <w:rPr>
          <w:rFonts w:ascii="Arial Narrow" w:hAnsi="Arial Narrow"/>
          <w:b/>
          <w:bCs/>
        </w:rPr>
        <w:t>8. Do key personnel know what to do?</w:t>
      </w:r>
    </w:p>
    <w:p w:rsidR="00DB6275" w:rsidRPr="00DB6275" w:rsidRDefault="00DB6275" w:rsidP="00DB6275">
      <w:pPr>
        <w:pStyle w:val="NormalWeb"/>
        <w:rPr>
          <w:rFonts w:ascii="Arial Narrow" w:hAnsi="Arial Narrow"/>
        </w:rPr>
      </w:pPr>
      <w:r w:rsidRPr="00DB6275">
        <w:rPr>
          <w:rFonts w:ascii="Arial Narrow" w:hAnsi="Arial Narrow"/>
        </w:rPr>
        <w:t xml:space="preserve">It is important that key personnel know what they must do to produce safe food during an emergency. </w:t>
      </w:r>
    </w:p>
    <w:p w:rsidR="00DB6275" w:rsidRPr="00DB6275" w:rsidRDefault="00DB6275" w:rsidP="00DB6275">
      <w:pPr>
        <w:pStyle w:val="NormalWeb"/>
        <w:rPr>
          <w:rFonts w:ascii="Arial Narrow" w:hAnsi="Arial Narrow"/>
        </w:rPr>
      </w:pPr>
      <w:r w:rsidRPr="00DB6275">
        <w:rPr>
          <w:rFonts w:ascii="Arial Narrow" w:hAnsi="Arial Narrow"/>
        </w:rPr>
        <w:t xml:space="preserve">In the first instance, operators with any questions should contact their usual verifier. </w:t>
      </w:r>
    </w:p>
    <w:sectPr w:rsidR="00DB6275" w:rsidRPr="00DB6275" w:rsidSect="00FA0F49">
      <w:headerReference w:type="default" r:id="rId8"/>
      <w:headerReference w:type="first" r:id="rId9"/>
      <w:footerReference w:type="first" r:id="rId10"/>
      <w:pgSz w:w="11906" w:h="16838" w:code="9"/>
      <w:pgMar w:top="1276"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00" w:rsidRDefault="00D63E00">
      <w:r>
        <w:separator/>
      </w:r>
    </w:p>
  </w:endnote>
  <w:endnote w:type="continuationSeparator" w:id="0">
    <w:p w:rsidR="00D63E00" w:rsidRDefault="00D63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7E3647" w:rsidRPr="007E3647">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00" w:rsidRDefault="00D63E00">
      <w:r>
        <w:separator/>
      </w:r>
    </w:p>
  </w:footnote>
  <w:footnote w:type="continuationSeparator" w:id="0">
    <w:p w:rsidR="00D63E00" w:rsidRDefault="00D6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7E3647">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C81879">
      <w:rPr>
        <w:noProof/>
        <w:sz w:val="18"/>
        <w:szCs w:val="18"/>
      </w:rPr>
      <w:t>2</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7E3647">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64D3"/>
    <w:multiLevelType w:val="hybridMultilevel"/>
    <w:tmpl w:val="8F5C3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stylePaneFormatFilter w:val="3F01"/>
  <w:doNotTrackMoves/>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B7A5B"/>
    <w:rsid w:val="0026018A"/>
    <w:rsid w:val="002C40F2"/>
    <w:rsid w:val="002F2F62"/>
    <w:rsid w:val="0032237A"/>
    <w:rsid w:val="00363CEC"/>
    <w:rsid w:val="00392511"/>
    <w:rsid w:val="003A281C"/>
    <w:rsid w:val="00404248"/>
    <w:rsid w:val="004E34FE"/>
    <w:rsid w:val="005272BF"/>
    <w:rsid w:val="005D08ED"/>
    <w:rsid w:val="005E2062"/>
    <w:rsid w:val="00633B79"/>
    <w:rsid w:val="00775A4F"/>
    <w:rsid w:val="007E3647"/>
    <w:rsid w:val="008129B2"/>
    <w:rsid w:val="00815CFC"/>
    <w:rsid w:val="008319C1"/>
    <w:rsid w:val="00832859"/>
    <w:rsid w:val="00845CE8"/>
    <w:rsid w:val="00847320"/>
    <w:rsid w:val="00864717"/>
    <w:rsid w:val="0086556F"/>
    <w:rsid w:val="009003FF"/>
    <w:rsid w:val="00900A9B"/>
    <w:rsid w:val="0093591A"/>
    <w:rsid w:val="00960C03"/>
    <w:rsid w:val="0099677E"/>
    <w:rsid w:val="00A65682"/>
    <w:rsid w:val="00AE49D2"/>
    <w:rsid w:val="00AF436A"/>
    <w:rsid w:val="00B554D4"/>
    <w:rsid w:val="00C06577"/>
    <w:rsid w:val="00C117B3"/>
    <w:rsid w:val="00C81879"/>
    <w:rsid w:val="00C93003"/>
    <w:rsid w:val="00D1056C"/>
    <w:rsid w:val="00D330D5"/>
    <w:rsid w:val="00D63E00"/>
    <w:rsid w:val="00DB6275"/>
    <w:rsid w:val="00E1330A"/>
    <w:rsid w:val="00E541AA"/>
    <w:rsid w:val="00E807FA"/>
    <w:rsid w:val="00EC1E38"/>
    <w:rsid w:val="00F04D7F"/>
    <w:rsid w:val="00F2218E"/>
    <w:rsid w:val="00F633D6"/>
    <w:rsid w:val="00F67594"/>
    <w:rsid w:val="00FA0F49"/>
    <w:rsid w:val="00FB78A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paragraph" w:styleId="Heading2">
    <w:name w:val="heading 2"/>
    <w:basedOn w:val="Normal"/>
    <w:next w:val="Normal"/>
    <w:link w:val="Heading2Char"/>
    <w:semiHidden/>
    <w:unhideWhenUsed/>
    <w:qFormat/>
    <w:rsid w:val="0086556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330A"/>
    <w:rPr>
      <w:b/>
      <w:bCs/>
    </w:rPr>
  </w:style>
  <w:style w:type="character" w:customStyle="1" w:styleId="Heading2Char">
    <w:name w:val="Heading 2 Char"/>
    <w:basedOn w:val="DefaultParagraphFont"/>
    <w:link w:val="Heading2"/>
    <w:semiHidden/>
    <w:rsid w:val="0086556F"/>
    <w:rPr>
      <w:rFonts w:ascii="Cambria" w:eastAsia="Times New Roman" w:hAnsi="Cambria" w:cs="Times New Roman"/>
      <w:b/>
      <w:bCs/>
      <w:i/>
      <w:iCs/>
      <w:sz w:val="28"/>
      <w:szCs w:val="28"/>
      <w:lang w:val="en-GB" w:eastAsia="en-GB"/>
    </w:rPr>
  </w:style>
  <w:style w:type="paragraph" w:styleId="NormalWeb">
    <w:name w:val="Normal (Web)"/>
    <w:basedOn w:val="Normal"/>
    <w:uiPriority w:val="99"/>
    <w:unhideWhenUsed/>
    <w:rsid w:val="0086556F"/>
    <w:pPr>
      <w:spacing w:after="255" w:line="280" w:lineRule="atLeast"/>
    </w:pPr>
    <w:rPr>
      <w:rFonts w:ascii="Times New Roman" w:hAnsi="Times New Roman"/>
      <w:color w:val="333333"/>
      <w:sz w:val="22"/>
      <w:szCs w:val="22"/>
      <w:lang w:val="en-NZ" w:eastAsia="en-NZ"/>
    </w:rPr>
  </w:style>
  <w:style w:type="character" w:customStyle="1" w:styleId="listidentifier1">
    <w:name w:val="listidentifier1"/>
    <w:basedOn w:val="DefaultParagraphFont"/>
    <w:rsid w:val="0086556F"/>
  </w:style>
  <w:style w:type="character" w:styleId="Hyperlink">
    <w:name w:val="Hyperlink"/>
    <w:basedOn w:val="DefaultParagraphFont"/>
    <w:rsid w:val="00FA0F49"/>
    <w:rPr>
      <w:color w:val="0000FF"/>
      <w:u w:val="single"/>
    </w:rPr>
  </w:style>
</w:styles>
</file>

<file path=word/webSettings.xml><?xml version="1.0" encoding="utf-8"?>
<w:webSettings xmlns:r="http://schemas.openxmlformats.org/officeDocument/2006/relationships" xmlns:w="http://schemas.openxmlformats.org/wordprocessingml/2006/main">
  <w:divs>
    <w:div w:id="74127854">
      <w:bodyDiv w:val="1"/>
      <w:marLeft w:val="0"/>
      <w:marRight w:val="0"/>
      <w:marTop w:val="0"/>
      <w:marBottom w:val="0"/>
      <w:divBdr>
        <w:top w:val="none" w:sz="0" w:space="0" w:color="auto"/>
        <w:left w:val="none" w:sz="0" w:space="0" w:color="auto"/>
        <w:bottom w:val="none" w:sz="0" w:space="0" w:color="auto"/>
        <w:right w:val="none" w:sz="0" w:space="0" w:color="auto"/>
      </w:divBdr>
      <w:divsChild>
        <w:div w:id="1993243710">
          <w:marLeft w:val="64"/>
          <w:marRight w:val="64"/>
          <w:marTop w:val="0"/>
          <w:marBottom w:val="64"/>
          <w:divBdr>
            <w:top w:val="none" w:sz="0" w:space="0" w:color="auto"/>
            <w:left w:val="none" w:sz="0" w:space="0" w:color="auto"/>
            <w:bottom w:val="none" w:sz="0" w:space="0" w:color="auto"/>
            <w:right w:val="none" w:sz="0" w:space="0" w:color="auto"/>
          </w:divBdr>
        </w:div>
      </w:divsChild>
    </w:div>
    <w:div w:id="1032996059">
      <w:bodyDiv w:val="1"/>
      <w:marLeft w:val="0"/>
      <w:marRight w:val="0"/>
      <w:marTop w:val="0"/>
      <w:marBottom w:val="0"/>
      <w:divBdr>
        <w:top w:val="none" w:sz="0" w:space="0" w:color="auto"/>
        <w:left w:val="none" w:sz="0" w:space="0" w:color="auto"/>
        <w:bottom w:val="none" w:sz="0" w:space="0" w:color="auto"/>
        <w:right w:val="none" w:sz="0" w:space="0" w:color="auto"/>
      </w:divBdr>
      <w:divsChild>
        <w:div w:id="947270361">
          <w:marLeft w:val="0"/>
          <w:marRight w:val="0"/>
          <w:marTop w:val="0"/>
          <w:marBottom w:val="0"/>
          <w:divBdr>
            <w:top w:val="none" w:sz="0" w:space="0" w:color="auto"/>
            <w:left w:val="none" w:sz="0" w:space="0" w:color="auto"/>
            <w:bottom w:val="none" w:sz="0" w:space="0" w:color="auto"/>
            <w:right w:val="none" w:sz="0" w:space="0" w:color="auto"/>
          </w:divBdr>
          <w:divsChild>
            <w:div w:id="1974283549">
              <w:marLeft w:val="0"/>
              <w:marRight w:val="0"/>
              <w:marTop w:val="0"/>
              <w:marBottom w:val="0"/>
              <w:divBdr>
                <w:top w:val="none" w:sz="0" w:space="0" w:color="auto"/>
                <w:left w:val="none" w:sz="0" w:space="0" w:color="auto"/>
                <w:bottom w:val="none" w:sz="0" w:space="0" w:color="auto"/>
                <w:right w:val="none" w:sz="0" w:space="0" w:color="auto"/>
              </w:divBdr>
              <w:divsChild>
                <w:div w:id="797378587">
                  <w:marLeft w:val="35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8611">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5">
          <w:marLeft w:val="0"/>
          <w:marRight w:val="0"/>
          <w:marTop w:val="0"/>
          <w:marBottom w:val="0"/>
          <w:divBdr>
            <w:top w:val="none" w:sz="0" w:space="0" w:color="auto"/>
            <w:left w:val="none" w:sz="0" w:space="0" w:color="auto"/>
            <w:bottom w:val="none" w:sz="0" w:space="0" w:color="auto"/>
            <w:right w:val="none" w:sz="0" w:space="0" w:color="auto"/>
          </w:divBdr>
          <w:divsChild>
            <w:div w:id="1572227052">
              <w:marLeft w:val="0"/>
              <w:marRight w:val="0"/>
              <w:marTop w:val="0"/>
              <w:marBottom w:val="0"/>
              <w:divBdr>
                <w:top w:val="none" w:sz="0" w:space="0" w:color="auto"/>
                <w:left w:val="none" w:sz="0" w:space="0" w:color="auto"/>
                <w:bottom w:val="none" w:sz="0" w:space="0" w:color="auto"/>
                <w:right w:val="none" w:sz="0" w:space="0" w:color="auto"/>
              </w:divBdr>
              <w:divsChild>
                <w:div w:id="1666124316">
                  <w:marLeft w:val="35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B2C1-FC1F-45A5-93A0-086D5FB2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25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4</cp:revision>
  <cp:lastPrinted>1601-01-01T00:00:00Z</cp:lastPrinted>
  <dcterms:created xsi:type="dcterms:W3CDTF">2013-08-19T19:48:00Z</dcterms:created>
  <dcterms:modified xsi:type="dcterms:W3CDTF">2014-10-21T18:56:00Z</dcterms:modified>
</cp:coreProperties>
</file>