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26"/>
        <w:gridCol w:w="3544"/>
        <w:gridCol w:w="2382"/>
      </w:tblGrid>
      <w:tr w:rsidR="00380159" w:rsidTr="00380159">
        <w:tc>
          <w:tcPr>
            <w:tcW w:w="1526" w:type="dxa"/>
          </w:tcPr>
          <w:p w:rsidR="00380159" w:rsidRPr="00205B18" w:rsidRDefault="00380159" w:rsidP="00F61648">
            <w:pPr>
              <w:rPr>
                <w:b/>
                <w:sz w:val="20"/>
                <w:szCs w:val="20"/>
              </w:rPr>
            </w:pPr>
            <w:r w:rsidRPr="00205B18">
              <w:rPr>
                <w:b/>
                <w:sz w:val="20"/>
                <w:szCs w:val="20"/>
              </w:rPr>
              <w:t>Checklist for B</w:t>
            </w:r>
            <w:r>
              <w:rPr>
                <w:b/>
                <w:sz w:val="20"/>
                <w:szCs w:val="20"/>
              </w:rPr>
              <w:t>uffalo and Cattle from Australia</w:t>
            </w:r>
          </w:p>
        </w:tc>
        <w:tc>
          <w:tcPr>
            <w:tcW w:w="3544" w:type="dxa"/>
          </w:tcPr>
          <w:p w:rsidR="00380159" w:rsidRPr="00095776" w:rsidRDefault="00095776">
            <w:pPr>
              <w:rPr>
                <w:sz w:val="20"/>
                <w:szCs w:val="20"/>
              </w:rPr>
            </w:pPr>
            <w:r w:rsidRPr="00095776">
              <w:rPr>
                <w:sz w:val="20"/>
                <w:szCs w:val="20"/>
              </w:rPr>
              <w:t>To do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82" w:type="dxa"/>
          </w:tcPr>
          <w:p w:rsidR="00380159" w:rsidRDefault="00380159"/>
        </w:tc>
      </w:tr>
      <w:tr w:rsidR="00380159" w:rsidTr="00380159">
        <w:tc>
          <w:tcPr>
            <w:tcW w:w="1526" w:type="dxa"/>
          </w:tcPr>
          <w:p w:rsidR="00380159" w:rsidRPr="0057314B" w:rsidRDefault="00380159" w:rsidP="00F616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80159" w:rsidRPr="0057314B" w:rsidRDefault="00380159" w:rsidP="00F61648">
            <w:pPr>
              <w:rPr>
                <w:sz w:val="20"/>
                <w:szCs w:val="20"/>
              </w:rPr>
            </w:pPr>
            <w:r w:rsidRPr="0057314B">
              <w:rPr>
                <w:sz w:val="20"/>
                <w:szCs w:val="20"/>
              </w:rPr>
              <w:t xml:space="preserve">Print out the model Veterinary </w:t>
            </w:r>
            <w:r w:rsidR="00777B6D">
              <w:rPr>
                <w:sz w:val="20"/>
                <w:szCs w:val="20"/>
              </w:rPr>
              <w:t>(</w:t>
            </w:r>
            <w:proofErr w:type="spellStart"/>
            <w:r w:rsidR="00777B6D">
              <w:rPr>
                <w:sz w:val="20"/>
                <w:szCs w:val="20"/>
              </w:rPr>
              <w:t>Zoosanitary</w:t>
            </w:r>
            <w:proofErr w:type="spellEnd"/>
            <w:r w:rsidR="00777B6D">
              <w:rPr>
                <w:sz w:val="20"/>
                <w:szCs w:val="20"/>
              </w:rPr>
              <w:t>)</w:t>
            </w:r>
            <w:r w:rsidRPr="0057314B">
              <w:rPr>
                <w:sz w:val="20"/>
                <w:szCs w:val="20"/>
              </w:rPr>
              <w:t>Certificate</w:t>
            </w:r>
            <w:r w:rsidR="00EB0EE9">
              <w:rPr>
                <w:sz w:val="20"/>
                <w:szCs w:val="20"/>
              </w:rPr>
              <w:t xml:space="preserve"> – as featured in the Import Health Standard for Buffalo and Cattle from Australia</w:t>
            </w:r>
          </w:p>
          <w:p w:rsidR="00380159" w:rsidRPr="0057314B" w:rsidRDefault="00380159" w:rsidP="00F61648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380159" w:rsidRPr="00EB0EE9" w:rsidRDefault="005008D3" w:rsidP="00F61648">
            <w:pPr>
              <w:rPr>
                <w:sz w:val="20"/>
                <w:szCs w:val="20"/>
              </w:rPr>
            </w:pPr>
            <w:hyperlink r:id="rId6" w:history="1">
              <w:r w:rsidR="00115F17">
                <w:rPr>
                  <w:rStyle w:val="Hyperlink"/>
                  <w:sz w:val="20"/>
                  <w:szCs w:val="20"/>
                </w:rPr>
                <w:t>Model Zoo</w:t>
              </w:r>
              <w:r w:rsidR="00A47985">
                <w:rPr>
                  <w:rStyle w:val="Hyperlink"/>
                  <w:sz w:val="20"/>
                  <w:szCs w:val="20"/>
                </w:rPr>
                <w:t xml:space="preserve"> S</w:t>
              </w:r>
              <w:r w:rsidR="00115F17">
                <w:rPr>
                  <w:rStyle w:val="Hyperlink"/>
                  <w:sz w:val="20"/>
                  <w:szCs w:val="20"/>
                </w:rPr>
                <w:t xml:space="preserve">anitary Certificate – in the </w:t>
              </w:r>
              <w:r w:rsidR="00EB0EE9" w:rsidRPr="00EB0EE9">
                <w:rPr>
                  <w:rStyle w:val="Hyperlink"/>
                  <w:sz w:val="20"/>
                  <w:szCs w:val="20"/>
                </w:rPr>
                <w:t>IHS</w:t>
              </w:r>
            </w:hyperlink>
          </w:p>
        </w:tc>
      </w:tr>
      <w:tr w:rsidR="00380159" w:rsidTr="00380159">
        <w:tc>
          <w:tcPr>
            <w:tcW w:w="1526" w:type="dxa"/>
          </w:tcPr>
          <w:p w:rsidR="00380159" w:rsidRPr="0057314B" w:rsidRDefault="00380159" w:rsidP="00F616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80159" w:rsidRPr="0057314B" w:rsidRDefault="00EB0EE9" w:rsidP="00F6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77B6D">
              <w:rPr>
                <w:sz w:val="20"/>
                <w:szCs w:val="20"/>
              </w:rPr>
              <w:t>ake reservation for pre-export i</w:t>
            </w:r>
            <w:r>
              <w:rPr>
                <w:sz w:val="20"/>
                <w:szCs w:val="20"/>
              </w:rPr>
              <w:t>solation</w:t>
            </w:r>
            <w:r w:rsidR="00380159" w:rsidRPr="0057314B">
              <w:rPr>
                <w:sz w:val="20"/>
                <w:szCs w:val="20"/>
              </w:rPr>
              <w:t xml:space="preserve"> at </w:t>
            </w:r>
            <w:r w:rsidR="00380159">
              <w:rPr>
                <w:sz w:val="20"/>
                <w:szCs w:val="20"/>
              </w:rPr>
              <w:t xml:space="preserve">an </w:t>
            </w:r>
            <w:r w:rsidR="00777B6D">
              <w:rPr>
                <w:sz w:val="20"/>
                <w:szCs w:val="20"/>
              </w:rPr>
              <w:t xml:space="preserve">Australian Department of Agriculture </w:t>
            </w:r>
            <w:r w:rsidR="00380159" w:rsidRPr="0057314B">
              <w:rPr>
                <w:sz w:val="20"/>
                <w:szCs w:val="20"/>
              </w:rPr>
              <w:t>approved premise</w:t>
            </w:r>
          </w:p>
        </w:tc>
        <w:tc>
          <w:tcPr>
            <w:tcW w:w="2382" w:type="dxa"/>
          </w:tcPr>
          <w:p w:rsidR="00380159" w:rsidRPr="009D5931" w:rsidRDefault="00380159" w:rsidP="00F616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</w:t>
            </w:r>
            <w:r w:rsidR="00FE4A71">
              <w:rPr>
                <w:sz w:val="20"/>
                <w:szCs w:val="20"/>
              </w:rPr>
              <w:t>soon as you have an export</w:t>
            </w:r>
            <w:r w:rsidRPr="0057314B">
              <w:rPr>
                <w:sz w:val="20"/>
                <w:szCs w:val="20"/>
              </w:rPr>
              <w:t xml:space="preserve"> date </w:t>
            </w:r>
            <w:r w:rsidR="00777B6D">
              <w:rPr>
                <w:sz w:val="20"/>
                <w:szCs w:val="20"/>
              </w:rPr>
              <w:t xml:space="preserve">(date </w:t>
            </w:r>
            <w:r w:rsidRPr="0057314B">
              <w:rPr>
                <w:sz w:val="20"/>
                <w:szCs w:val="20"/>
              </w:rPr>
              <w:t>of departure</w:t>
            </w:r>
            <w:r w:rsidR="00777B6D">
              <w:rPr>
                <w:sz w:val="20"/>
                <w:szCs w:val="20"/>
              </w:rPr>
              <w:t>)</w:t>
            </w:r>
          </w:p>
        </w:tc>
      </w:tr>
      <w:tr w:rsidR="00380159" w:rsidTr="00380159">
        <w:tc>
          <w:tcPr>
            <w:tcW w:w="1526" w:type="dxa"/>
          </w:tcPr>
          <w:p w:rsidR="00380159" w:rsidRPr="0057314B" w:rsidRDefault="00380159" w:rsidP="00F616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80159" w:rsidRPr="0057314B" w:rsidRDefault="00380159" w:rsidP="00F61648">
            <w:pPr>
              <w:rPr>
                <w:sz w:val="20"/>
                <w:szCs w:val="20"/>
              </w:rPr>
            </w:pPr>
            <w:r w:rsidRPr="0057314B">
              <w:rPr>
                <w:sz w:val="20"/>
                <w:szCs w:val="20"/>
              </w:rPr>
              <w:t>Apply for an import permit</w:t>
            </w:r>
          </w:p>
        </w:tc>
        <w:tc>
          <w:tcPr>
            <w:tcW w:w="2382" w:type="dxa"/>
          </w:tcPr>
          <w:p w:rsidR="00380159" w:rsidRPr="0057314B" w:rsidRDefault="00380159" w:rsidP="00380159">
            <w:pPr>
              <w:rPr>
                <w:sz w:val="20"/>
                <w:szCs w:val="20"/>
              </w:rPr>
            </w:pPr>
            <w:r w:rsidRPr="0057314B">
              <w:rPr>
                <w:sz w:val="20"/>
                <w:szCs w:val="20"/>
              </w:rPr>
              <w:t xml:space="preserve"> At least six weeks before shipment</w:t>
            </w:r>
          </w:p>
          <w:p w:rsidR="00380159" w:rsidRPr="00EB0EE9" w:rsidRDefault="005008D3" w:rsidP="00380159">
            <w:pPr>
              <w:rPr>
                <w:sz w:val="20"/>
                <w:szCs w:val="20"/>
              </w:rPr>
            </w:pPr>
            <w:hyperlink r:id="rId7" w:history="1">
              <w:r w:rsidR="00380159" w:rsidRPr="00EB0EE9">
                <w:rPr>
                  <w:rStyle w:val="Hyperlink"/>
                  <w:sz w:val="20"/>
                  <w:szCs w:val="20"/>
                </w:rPr>
                <w:t xml:space="preserve">Application </w:t>
              </w:r>
              <w:r w:rsidR="00EB0EE9" w:rsidRPr="00EB0EE9">
                <w:rPr>
                  <w:rStyle w:val="Hyperlink"/>
                  <w:sz w:val="20"/>
                  <w:szCs w:val="20"/>
                </w:rPr>
                <w:t>for permit to import live animals</w:t>
              </w:r>
            </w:hyperlink>
            <w:r w:rsidR="00380159" w:rsidRPr="00EB0EE9">
              <w:rPr>
                <w:sz w:val="20"/>
                <w:szCs w:val="20"/>
              </w:rPr>
              <w:t xml:space="preserve"> </w:t>
            </w:r>
          </w:p>
        </w:tc>
      </w:tr>
      <w:tr w:rsidR="00380159" w:rsidTr="00380159">
        <w:tc>
          <w:tcPr>
            <w:tcW w:w="1526" w:type="dxa"/>
          </w:tcPr>
          <w:p w:rsidR="00DF2C2D" w:rsidRDefault="00380159" w:rsidP="00F61648">
            <w:pPr>
              <w:rPr>
                <w:b/>
                <w:sz w:val="20"/>
                <w:szCs w:val="20"/>
              </w:rPr>
            </w:pPr>
            <w:r w:rsidRPr="00205B18">
              <w:rPr>
                <w:b/>
                <w:sz w:val="20"/>
                <w:szCs w:val="20"/>
              </w:rPr>
              <w:t xml:space="preserve">Prior to </w:t>
            </w:r>
          </w:p>
          <w:p w:rsidR="00380159" w:rsidRDefault="00DF2C2D" w:rsidP="00F61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pre-export isolation</w:t>
            </w:r>
          </w:p>
          <w:p w:rsidR="00EE04FF" w:rsidRPr="00205B18" w:rsidRDefault="00EE04FF" w:rsidP="00DF2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F2C2D" w:rsidRPr="00205B18">
              <w:rPr>
                <w:b/>
                <w:sz w:val="20"/>
                <w:szCs w:val="20"/>
              </w:rPr>
              <w:t>PEI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380159" w:rsidRDefault="00777B6D" w:rsidP="00F6164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Insert </w:t>
            </w:r>
            <w:r w:rsidR="00380159" w:rsidRPr="0057314B">
              <w:rPr>
                <w:rFonts w:asciiTheme="minorHAnsi" w:hAnsiTheme="minorHAnsi"/>
                <w:sz w:val="20"/>
                <w:szCs w:val="20"/>
              </w:rPr>
              <w:t xml:space="preserve">MPI and NAIT ear tags under the supervision of </w:t>
            </w:r>
            <w:r w:rsidR="00380159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380159" w:rsidRPr="0057314B">
              <w:rPr>
                <w:rFonts w:asciiTheme="minorHAnsi" w:hAnsiTheme="minorHAnsi"/>
                <w:sz w:val="20"/>
                <w:szCs w:val="20"/>
              </w:rPr>
              <w:t xml:space="preserve">certifying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Department of Agriculture veterinarian.  Ensure ear tag numbers are </w:t>
            </w:r>
            <w:r w:rsidR="00380159">
              <w:rPr>
                <w:rFonts w:asciiTheme="minorHAnsi" w:hAnsiTheme="minorHAnsi"/>
                <w:sz w:val="20"/>
                <w:szCs w:val="20"/>
              </w:rPr>
              <w:t>recorded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all laboratory submission forms, reports, the veterinary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zoosanitary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 certificate and the</w:t>
            </w:r>
            <w:r w:rsidR="003801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0159" w:rsidRPr="00EB0EE9">
              <w:rPr>
                <w:rFonts w:asciiTheme="minorHAnsi" w:hAnsiTheme="minorHAnsi"/>
                <w:sz w:val="20"/>
                <w:szCs w:val="20"/>
              </w:rPr>
              <w:t>Live Animal Identification 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which is located</w:t>
            </w:r>
            <w:r w:rsidR="00115F17">
              <w:rPr>
                <w:rFonts w:asciiTheme="minorHAnsi" w:hAnsiTheme="minorHAnsi"/>
                <w:sz w:val="20"/>
                <w:szCs w:val="20"/>
              </w:rPr>
              <w:t xml:space="preserve"> in the</w:t>
            </w:r>
            <w:r w:rsidR="00A479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Application for permit to import live animals</w:t>
            </w:r>
          </w:p>
          <w:p w:rsidR="00EB0EE9" w:rsidRDefault="005008D3" w:rsidP="00F61648">
            <w:pPr>
              <w:pStyle w:val="NormalWeb"/>
            </w:pPr>
            <w:hyperlink r:id="rId8" w:history="1">
              <w:r w:rsidR="00EB0EE9" w:rsidRPr="00EB0EE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Read more about ear tagging and NAIT</w:t>
              </w:r>
            </w:hyperlink>
          </w:p>
          <w:p w:rsidR="00A47985" w:rsidRPr="00A47985" w:rsidRDefault="005008D3" w:rsidP="00F6164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A47985" w:rsidRPr="00A4798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Read the guide to ear tagging in the IHS</w:t>
              </w:r>
            </w:hyperlink>
          </w:p>
        </w:tc>
        <w:tc>
          <w:tcPr>
            <w:tcW w:w="2382" w:type="dxa"/>
          </w:tcPr>
          <w:p w:rsidR="00380159" w:rsidRDefault="00380159" w:rsidP="00F6164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PEI may not begin</w:t>
            </w:r>
            <w:r w:rsidRPr="005731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until both the NAIT and MPI ear tags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have been inserted</w:t>
            </w:r>
          </w:p>
          <w:p w:rsidR="00380159" w:rsidRPr="00EB0EE9" w:rsidRDefault="00380159" w:rsidP="00F61648">
            <w:pPr>
              <w:pStyle w:val="NormalWeb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EB0EE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Note:</w:t>
            </w:r>
            <w:r w:rsidRPr="00EB0EE9">
              <w:rPr>
                <w:rFonts w:asciiTheme="minorHAnsi" w:hAnsiTheme="minorHAnsi"/>
                <w:b/>
                <w:sz w:val="18"/>
                <w:szCs w:val="18"/>
              </w:rPr>
              <w:t xml:space="preserve"> MPI tags will be issued with the permit to import.  </w:t>
            </w:r>
          </w:p>
          <w:p w:rsidR="00380159" w:rsidRPr="0057314B" w:rsidRDefault="00380159" w:rsidP="00F61648">
            <w:pPr>
              <w:rPr>
                <w:sz w:val="20"/>
                <w:szCs w:val="20"/>
              </w:rPr>
            </w:pPr>
          </w:p>
        </w:tc>
      </w:tr>
      <w:tr w:rsidR="00380159" w:rsidTr="00380159">
        <w:tc>
          <w:tcPr>
            <w:tcW w:w="1526" w:type="dxa"/>
          </w:tcPr>
          <w:p w:rsidR="00380159" w:rsidRPr="0057314B" w:rsidRDefault="00380159" w:rsidP="00F616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80159" w:rsidRPr="0057314B" w:rsidRDefault="00380159" w:rsidP="00F6164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Send a copy of the                                  </w:t>
            </w:r>
            <w:r w:rsidRPr="00315131">
              <w:rPr>
                <w:rFonts w:asciiTheme="minorHAnsi" w:hAnsiTheme="minorHAnsi"/>
                <w:sz w:val="20"/>
                <w:szCs w:val="20"/>
              </w:rPr>
              <w:t>Live Animal Identification Table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57314B">
              <w:rPr>
                <w:rFonts w:asciiTheme="minorHAnsi" w:hAnsiTheme="minorHAnsi" w:cs="Arial"/>
                <w:color w:val="000000"/>
                <w:sz w:val="20"/>
                <w:szCs w:val="20"/>
              </w:rPr>
              <w:t>to</w:t>
            </w:r>
            <w:r>
              <w:t xml:space="preserve"> </w:t>
            </w:r>
            <w:hyperlink r:id="rId10" w:history="1">
              <w:r w:rsidRPr="00850DA7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animalimports@mpi.govt.nz</w:t>
              </w:r>
            </w:hyperlink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and attach</w:t>
            </w:r>
            <w:r w:rsidR="0031513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original to the Import Permit</w:t>
            </w:r>
          </w:p>
        </w:tc>
        <w:tc>
          <w:tcPr>
            <w:tcW w:w="2382" w:type="dxa"/>
          </w:tcPr>
          <w:p w:rsidR="00380159" w:rsidRPr="0057314B" w:rsidRDefault="00380159" w:rsidP="00F61648">
            <w:pPr>
              <w:rPr>
                <w:sz w:val="20"/>
                <w:szCs w:val="20"/>
              </w:rPr>
            </w:pPr>
          </w:p>
        </w:tc>
      </w:tr>
      <w:tr w:rsidR="00380159" w:rsidTr="00380159">
        <w:tc>
          <w:tcPr>
            <w:tcW w:w="1526" w:type="dxa"/>
          </w:tcPr>
          <w:p w:rsidR="00380159" w:rsidRPr="0057314B" w:rsidRDefault="00380159" w:rsidP="00F616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80159" w:rsidRPr="0057314B" w:rsidRDefault="00380159" w:rsidP="00F6164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First</w:t>
            </w:r>
            <w:r w:rsidR="00777B6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pre-entry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external and internal parasite treatment</w:t>
            </w:r>
          </w:p>
        </w:tc>
        <w:tc>
          <w:tcPr>
            <w:tcW w:w="2382" w:type="dxa"/>
          </w:tcPr>
          <w:p w:rsidR="00380159" w:rsidRPr="0057314B" w:rsidRDefault="00380159" w:rsidP="00F6164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731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Seven to 10 days </w:t>
            </w:r>
            <w:r w:rsidR="00AE5E46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before</w:t>
            </w:r>
            <w:r w:rsidR="00AE5E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5731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entering PEI </w:t>
            </w:r>
          </w:p>
        </w:tc>
      </w:tr>
      <w:tr w:rsidR="00380159" w:rsidTr="00380159">
        <w:tc>
          <w:tcPr>
            <w:tcW w:w="1526" w:type="dxa"/>
          </w:tcPr>
          <w:p w:rsidR="00380159" w:rsidRPr="0057314B" w:rsidRDefault="00380159" w:rsidP="00F616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80159" w:rsidRPr="0057314B" w:rsidRDefault="00380159" w:rsidP="00F6164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Second </w:t>
            </w:r>
            <w:r w:rsidR="00777B6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pre-entry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external parasite treatment</w:t>
            </w:r>
          </w:p>
        </w:tc>
        <w:tc>
          <w:tcPr>
            <w:tcW w:w="2382" w:type="dxa"/>
          </w:tcPr>
          <w:p w:rsidR="00380159" w:rsidRPr="00413E09" w:rsidRDefault="00380159" w:rsidP="00F6164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3E09">
              <w:rPr>
                <w:rFonts w:asciiTheme="minorHAnsi" w:hAnsiTheme="minorHAnsi" w:cs="Arial"/>
                <w:color w:val="000000"/>
                <w:sz w:val="20"/>
                <w:szCs w:val="20"/>
              </w:rPr>
              <w:t>Durin</w:t>
            </w:r>
            <w:r w:rsidR="00DF2C2D">
              <w:rPr>
                <w:rFonts w:asciiTheme="minorHAnsi" w:hAnsiTheme="minorHAnsi" w:cs="Arial"/>
                <w:color w:val="000000"/>
                <w:sz w:val="20"/>
                <w:szCs w:val="20"/>
              </w:rPr>
              <w:t>g the 48 hours immediately before</w:t>
            </w:r>
            <w:r w:rsidRPr="00413E0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entering PEI </w:t>
            </w:r>
          </w:p>
        </w:tc>
      </w:tr>
      <w:tr w:rsidR="00380159" w:rsidTr="00380159">
        <w:tc>
          <w:tcPr>
            <w:tcW w:w="1526" w:type="dxa"/>
          </w:tcPr>
          <w:p w:rsidR="00380159" w:rsidRPr="00205B18" w:rsidRDefault="00380159" w:rsidP="00DA0986">
            <w:pPr>
              <w:rPr>
                <w:b/>
                <w:sz w:val="20"/>
                <w:szCs w:val="20"/>
              </w:rPr>
            </w:pPr>
            <w:r w:rsidRPr="00205B18">
              <w:rPr>
                <w:b/>
                <w:sz w:val="20"/>
                <w:szCs w:val="20"/>
              </w:rPr>
              <w:t>P</w:t>
            </w:r>
            <w:r w:rsidR="00DF2C2D">
              <w:rPr>
                <w:b/>
                <w:sz w:val="20"/>
                <w:szCs w:val="20"/>
              </w:rPr>
              <w:t>re-export Isolation (PEI)</w:t>
            </w:r>
          </w:p>
          <w:p w:rsidR="00380159" w:rsidRPr="0057314B" w:rsidRDefault="00380159" w:rsidP="00F616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77B6D" w:rsidRDefault="00DF2C2D" w:rsidP="00F61648">
            <w:pPr>
              <w:pStyle w:val="NormalWeb"/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All stages of PEI are covered in the </w:t>
            </w:r>
            <w:hyperlink r:id="rId11" w:history="1">
              <w:r w:rsidRPr="00DF2C2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IHS for buffalo and cattle from Australia</w:t>
              </w:r>
            </w:hyperlink>
          </w:p>
          <w:p w:rsidR="00777B6D" w:rsidRPr="00777B6D" w:rsidRDefault="00334F20" w:rsidP="00F6164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(includes internal and external parasite treatments, disease tests and treatments, inspection)</w:t>
            </w:r>
          </w:p>
          <w:p w:rsidR="00777B6D" w:rsidRPr="00777B6D" w:rsidRDefault="00777B6D" w:rsidP="00F61648">
            <w:pPr>
              <w:pStyle w:val="NormalWeb"/>
            </w:pPr>
          </w:p>
        </w:tc>
        <w:tc>
          <w:tcPr>
            <w:tcW w:w="2382" w:type="dxa"/>
          </w:tcPr>
          <w:p w:rsidR="00380159" w:rsidRPr="00315131" w:rsidRDefault="00380159" w:rsidP="0038015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EB0EE9">
              <w:rPr>
                <w:rFonts w:asciiTheme="minorHAnsi" w:hAnsiTheme="minorHAnsi"/>
                <w:sz w:val="20"/>
                <w:szCs w:val="20"/>
              </w:rPr>
              <w:t>30</w:t>
            </w:r>
            <w:r w:rsidR="00DF2C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0EE9">
              <w:rPr>
                <w:rFonts w:asciiTheme="minorHAnsi" w:hAnsiTheme="minorHAnsi"/>
                <w:sz w:val="20"/>
                <w:szCs w:val="20"/>
              </w:rPr>
              <w:t>days</w:t>
            </w:r>
          </w:p>
        </w:tc>
      </w:tr>
      <w:tr w:rsidR="00380159" w:rsidTr="00380159">
        <w:tc>
          <w:tcPr>
            <w:tcW w:w="1526" w:type="dxa"/>
          </w:tcPr>
          <w:p w:rsidR="00380159" w:rsidRDefault="00380159"/>
        </w:tc>
        <w:tc>
          <w:tcPr>
            <w:tcW w:w="3544" w:type="dxa"/>
          </w:tcPr>
          <w:p w:rsidR="00380159" w:rsidRPr="0057314B" w:rsidRDefault="003F7C01" w:rsidP="00F6164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Send advanced notification (including the date, expected time and flight number) to MPI at port of arrival</w:t>
            </w:r>
          </w:p>
        </w:tc>
        <w:tc>
          <w:tcPr>
            <w:tcW w:w="2382" w:type="dxa"/>
          </w:tcPr>
          <w:p w:rsidR="00380159" w:rsidRPr="00DA0986" w:rsidRDefault="00380159">
            <w:pPr>
              <w:rPr>
                <w:sz w:val="20"/>
                <w:szCs w:val="20"/>
              </w:rPr>
            </w:pPr>
            <w:r w:rsidRPr="00DA0986">
              <w:rPr>
                <w:sz w:val="20"/>
                <w:szCs w:val="20"/>
              </w:rPr>
              <w:t>At least 72 hours before scheduled time of arrival</w:t>
            </w:r>
          </w:p>
        </w:tc>
      </w:tr>
      <w:tr w:rsidR="003F7C01" w:rsidTr="00380159">
        <w:tc>
          <w:tcPr>
            <w:tcW w:w="1526" w:type="dxa"/>
          </w:tcPr>
          <w:p w:rsidR="003F7C01" w:rsidRPr="003F7C01" w:rsidRDefault="003F7C01">
            <w:pPr>
              <w:rPr>
                <w:sz w:val="20"/>
                <w:szCs w:val="20"/>
              </w:rPr>
            </w:pPr>
            <w:r w:rsidRPr="003F7C01">
              <w:rPr>
                <w:sz w:val="20"/>
                <w:szCs w:val="20"/>
              </w:rPr>
              <w:t xml:space="preserve">Within 3 days </w:t>
            </w:r>
            <w:r w:rsidRPr="003F7C01">
              <w:rPr>
                <w:sz w:val="20"/>
                <w:szCs w:val="20"/>
              </w:rPr>
              <w:lastRenderedPageBreak/>
              <w:t>of export</w:t>
            </w:r>
          </w:p>
        </w:tc>
        <w:tc>
          <w:tcPr>
            <w:tcW w:w="3544" w:type="dxa"/>
          </w:tcPr>
          <w:p w:rsidR="003F7C01" w:rsidRDefault="003F7C01" w:rsidP="00F6164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Final treatments, inspection and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preparation of all accompanying documentation for arrival in New Zealand.  This includes signed official veterinarian documents and a copy of the permit</w:t>
            </w:r>
          </w:p>
        </w:tc>
        <w:tc>
          <w:tcPr>
            <w:tcW w:w="2382" w:type="dxa"/>
          </w:tcPr>
          <w:p w:rsidR="003F7C01" w:rsidRPr="00DA0986" w:rsidRDefault="003F7C01">
            <w:pPr>
              <w:rPr>
                <w:sz w:val="20"/>
                <w:szCs w:val="20"/>
              </w:rPr>
            </w:pPr>
          </w:p>
        </w:tc>
      </w:tr>
      <w:tr w:rsidR="00380159" w:rsidTr="00380159">
        <w:tc>
          <w:tcPr>
            <w:tcW w:w="1526" w:type="dxa"/>
          </w:tcPr>
          <w:p w:rsidR="00380159" w:rsidRDefault="003F7C01">
            <w:r>
              <w:lastRenderedPageBreak/>
              <w:t>Arrival</w:t>
            </w:r>
          </w:p>
        </w:tc>
        <w:tc>
          <w:tcPr>
            <w:tcW w:w="3544" w:type="dxa"/>
          </w:tcPr>
          <w:p w:rsidR="00380159" w:rsidRPr="0057314B" w:rsidRDefault="003F7C01" w:rsidP="00F6164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Verification in New Zealand</w:t>
            </w:r>
          </w:p>
        </w:tc>
        <w:tc>
          <w:tcPr>
            <w:tcW w:w="2382" w:type="dxa"/>
          </w:tcPr>
          <w:p w:rsidR="00380159" w:rsidRDefault="00380159">
            <w:r w:rsidRPr="0057314B">
              <w:rPr>
                <w:rFonts w:cs="Arial"/>
                <w:color w:val="000000"/>
                <w:sz w:val="20"/>
                <w:szCs w:val="20"/>
              </w:rPr>
              <w:t>Upon arrival in New Zealand the documentation and the animal shall be inspected by an</w:t>
            </w:r>
            <w:r w:rsidR="003F7C01">
              <w:rPr>
                <w:rFonts w:cs="Arial"/>
                <w:color w:val="000000"/>
                <w:sz w:val="20"/>
                <w:szCs w:val="20"/>
              </w:rPr>
              <w:t xml:space="preserve"> official veterinarian</w:t>
            </w:r>
            <w:r w:rsidRPr="0057314B">
              <w:rPr>
                <w:rFonts w:cs="Arial"/>
                <w:color w:val="000000"/>
                <w:sz w:val="20"/>
                <w:szCs w:val="20"/>
              </w:rPr>
              <w:t xml:space="preserve"> at the port of arrival.</w:t>
            </w:r>
          </w:p>
        </w:tc>
      </w:tr>
    </w:tbl>
    <w:p w:rsidR="00F6190E" w:rsidRDefault="00F6190E"/>
    <w:sectPr w:rsidR="00F6190E" w:rsidSect="00F6190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C4" w:rsidRDefault="00826FC4" w:rsidP="00EB0EE9">
      <w:pPr>
        <w:spacing w:after="0" w:line="240" w:lineRule="auto"/>
      </w:pPr>
      <w:r>
        <w:separator/>
      </w:r>
    </w:p>
  </w:endnote>
  <w:endnote w:type="continuationSeparator" w:id="0">
    <w:p w:rsidR="00826FC4" w:rsidRDefault="00826FC4" w:rsidP="00E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C4" w:rsidRDefault="00826FC4" w:rsidP="00EB0EE9">
      <w:pPr>
        <w:spacing w:after="0" w:line="240" w:lineRule="auto"/>
      </w:pPr>
      <w:r>
        <w:separator/>
      </w:r>
    </w:p>
  </w:footnote>
  <w:footnote w:type="continuationSeparator" w:id="0">
    <w:p w:rsidR="00826FC4" w:rsidRDefault="00826FC4" w:rsidP="00E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E9" w:rsidRDefault="00EB0EE9">
    <w:pPr>
      <w:pStyle w:val="Header"/>
    </w:pPr>
    <w:r>
      <w:t>This checklist is a guide only and should be used with the Import Health Standard. For the full list of requirements to import buffalo and cattle from Australia – refer to the Import Health Standard.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06D"/>
    <w:rsid w:val="00095776"/>
    <w:rsid w:val="00115F17"/>
    <w:rsid w:val="001431D5"/>
    <w:rsid w:val="00166206"/>
    <w:rsid w:val="00205B18"/>
    <w:rsid w:val="00315131"/>
    <w:rsid w:val="00334F20"/>
    <w:rsid w:val="00380159"/>
    <w:rsid w:val="003F7C01"/>
    <w:rsid w:val="00413345"/>
    <w:rsid w:val="005008D3"/>
    <w:rsid w:val="00506830"/>
    <w:rsid w:val="00601B9E"/>
    <w:rsid w:val="00695676"/>
    <w:rsid w:val="006F2B5B"/>
    <w:rsid w:val="00777B6D"/>
    <w:rsid w:val="0078027E"/>
    <w:rsid w:val="007B5507"/>
    <w:rsid w:val="00826FC4"/>
    <w:rsid w:val="00867126"/>
    <w:rsid w:val="008C23FF"/>
    <w:rsid w:val="009D5931"/>
    <w:rsid w:val="00A47985"/>
    <w:rsid w:val="00AE5E46"/>
    <w:rsid w:val="00B05C7E"/>
    <w:rsid w:val="00B93B30"/>
    <w:rsid w:val="00BA4122"/>
    <w:rsid w:val="00D87CFC"/>
    <w:rsid w:val="00DA0986"/>
    <w:rsid w:val="00DF2C2D"/>
    <w:rsid w:val="00E7706D"/>
    <w:rsid w:val="00E773FD"/>
    <w:rsid w:val="00EB0EE9"/>
    <w:rsid w:val="00EE04FF"/>
    <w:rsid w:val="00F53C9B"/>
    <w:rsid w:val="00F6190E"/>
    <w:rsid w:val="00F80DF5"/>
    <w:rsid w:val="00FE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706D"/>
    <w:pPr>
      <w:spacing w:before="100" w:beforeAutospacing="1" w:after="22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A09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0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EE9"/>
  </w:style>
  <w:style w:type="paragraph" w:styleId="Footer">
    <w:name w:val="footer"/>
    <w:basedOn w:val="Normal"/>
    <w:link w:val="FooterChar"/>
    <w:uiPriority w:val="99"/>
    <w:semiHidden/>
    <w:unhideWhenUsed/>
    <w:rsid w:val="00EB0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EE9"/>
  </w:style>
  <w:style w:type="character" w:styleId="FollowedHyperlink">
    <w:name w:val="FollowedHyperlink"/>
    <w:basedOn w:val="DefaultParagraphFont"/>
    <w:uiPriority w:val="99"/>
    <w:semiHidden/>
    <w:unhideWhenUsed/>
    <w:rsid w:val="00EB0E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t.co.nz/ta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security.govt.nz/files/regs/imports/animals/forms/app-form-live-animals-trans-cont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security.govt.nz/files/ihs/bovaniic.aus.pdf" TargetMode="External"/><Relationship Id="rId11" Type="http://schemas.openxmlformats.org/officeDocument/2006/relationships/hyperlink" Target="http://www.biosecurity.govt.nz/files/ihs/bovaniic.aus.pdf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nimalimports@mpi.govt.n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osecurity.govt.nz/files/ihs/bovaniic.au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SoppetG</dc:creator>
  <cp:lastModifiedBy>WilsonE</cp:lastModifiedBy>
  <cp:revision>2</cp:revision>
  <cp:lastPrinted>2014-06-03T00:10:00Z</cp:lastPrinted>
  <dcterms:created xsi:type="dcterms:W3CDTF">2015-01-12T21:33:00Z</dcterms:created>
  <dcterms:modified xsi:type="dcterms:W3CDTF">2015-01-12T21:33:00Z</dcterms:modified>
</cp:coreProperties>
</file>